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9AFA7"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4449230A" wp14:editId="44D209F4">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333FAA" w14:paraId="6461279B" w14:textId="77777777" w:rsidTr="00EB3CF0">
        <w:trPr>
          <w:tblHeader/>
        </w:trPr>
        <w:tc>
          <w:tcPr>
            <w:tcW w:w="3456" w:type="dxa"/>
            <w:tcBorders>
              <w:bottom w:val="single" w:sz="18" w:space="0" w:color="auto"/>
            </w:tcBorders>
          </w:tcPr>
          <w:p w14:paraId="65A48171"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7306BBD7" w14:textId="77777777" w:rsidR="00333FAA" w:rsidRPr="005E3A10" w:rsidRDefault="005811F8" w:rsidP="00F06E4E">
            <w:pPr>
              <w:pStyle w:val="Heading1"/>
              <w:outlineLvl w:val="0"/>
              <w:rPr>
                <w:szCs w:val="24"/>
              </w:rPr>
            </w:pPr>
            <w:r w:rsidRPr="005E3A10">
              <w:t>Cabinet</w:t>
            </w:r>
          </w:p>
        </w:tc>
      </w:tr>
      <w:tr w:rsidR="00333FAA" w14:paraId="485D62FF" w14:textId="77777777" w:rsidTr="00EB3CF0">
        <w:tc>
          <w:tcPr>
            <w:tcW w:w="3456" w:type="dxa"/>
            <w:tcBorders>
              <w:top w:val="single" w:sz="18" w:space="0" w:color="auto"/>
            </w:tcBorders>
          </w:tcPr>
          <w:p w14:paraId="7E3952ED"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82F4455" w14:textId="1402B362" w:rsidR="00333FAA" w:rsidRPr="005B7300" w:rsidRDefault="00F1576D" w:rsidP="00F1576D">
            <w:pPr>
              <w:rPr>
                <w:rFonts w:cs="Arial"/>
                <w:szCs w:val="24"/>
              </w:rPr>
            </w:pPr>
            <w:r>
              <w:rPr>
                <w:rFonts w:cs="Arial"/>
                <w:szCs w:val="24"/>
              </w:rPr>
              <w:t>11</w:t>
            </w:r>
            <w:r w:rsidRPr="00F1576D">
              <w:rPr>
                <w:rFonts w:cs="Arial"/>
                <w:szCs w:val="24"/>
                <w:vertAlign w:val="superscript"/>
              </w:rPr>
              <w:t>th</w:t>
            </w:r>
            <w:r>
              <w:rPr>
                <w:rFonts w:cs="Arial"/>
                <w:szCs w:val="24"/>
              </w:rPr>
              <w:t xml:space="preserve"> </w:t>
            </w:r>
            <w:r w:rsidR="00D0460C" w:rsidRPr="005B7300">
              <w:rPr>
                <w:rFonts w:cs="Arial"/>
                <w:szCs w:val="24"/>
              </w:rPr>
              <w:t>November 2020</w:t>
            </w:r>
          </w:p>
        </w:tc>
      </w:tr>
      <w:tr w:rsidR="00333FAA" w14:paraId="72E35CC7" w14:textId="77777777" w:rsidTr="00EB3CF0">
        <w:tc>
          <w:tcPr>
            <w:tcW w:w="3456" w:type="dxa"/>
          </w:tcPr>
          <w:p w14:paraId="41AB9CB0"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FA6F3C9" w14:textId="42761203" w:rsidR="00333FAA" w:rsidRPr="005B7300" w:rsidRDefault="00A865DD" w:rsidP="00A53B04">
            <w:pPr>
              <w:rPr>
                <w:rFonts w:cs="Arial"/>
                <w:szCs w:val="24"/>
              </w:rPr>
            </w:pPr>
            <w:r>
              <w:rPr>
                <w:rFonts w:cs="Arial"/>
                <w:szCs w:val="24"/>
              </w:rPr>
              <w:t xml:space="preserve">People Services Strategic Commissioning </w:t>
            </w:r>
            <w:r w:rsidR="00D0460C" w:rsidRPr="005B7300">
              <w:rPr>
                <w:rFonts w:cs="Arial"/>
                <w:szCs w:val="24"/>
              </w:rPr>
              <w:t>Extra Care</w:t>
            </w:r>
            <w:r w:rsidR="00E423A3">
              <w:rPr>
                <w:rFonts w:cs="Arial"/>
                <w:szCs w:val="24"/>
              </w:rPr>
              <w:t xml:space="preserve"> Strategy Up-Date</w:t>
            </w:r>
          </w:p>
        </w:tc>
      </w:tr>
      <w:tr w:rsidR="00333FAA" w14:paraId="1449AD36" w14:textId="77777777" w:rsidTr="00EB3CF0">
        <w:tc>
          <w:tcPr>
            <w:tcW w:w="3456" w:type="dxa"/>
          </w:tcPr>
          <w:p w14:paraId="176B3AC0"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07B9A65B" w14:textId="77777777" w:rsidR="001C7E35" w:rsidRPr="005B7300" w:rsidRDefault="001C7E35" w:rsidP="001C7E35">
            <w:pPr>
              <w:pStyle w:val="Infotext"/>
              <w:rPr>
                <w:rFonts w:cs="Arial"/>
                <w:sz w:val="24"/>
                <w:szCs w:val="24"/>
              </w:rPr>
            </w:pPr>
            <w:r w:rsidRPr="005B7300">
              <w:rPr>
                <w:rFonts w:cs="Arial"/>
                <w:sz w:val="24"/>
                <w:szCs w:val="24"/>
              </w:rPr>
              <w:t xml:space="preserve">Yes </w:t>
            </w:r>
          </w:p>
          <w:p w14:paraId="782F92EC" w14:textId="77777777" w:rsidR="00333FAA" w:rsidRDefault="00D0460C" w:rsidP="00D0460C">
            <w:pPr>
              <w:pStyle w:val="Infotext"/>
              <w:rPr>
                <w:rFonts w:cs="Arial"/>
                <w:color w:val="000000"/>
                <w:sz w:val="24"/>
                <w:szCs w:val="24"/>
                <w:lang w:val="en-US"/>
              </w:rPr>
            </w:pPr>
            <w:r w:rsidRPr="005B7300">
              <w:rPr>
                <w:rFonts w:cs="Arial"/>
                <w:color w:val="000000"/>
                <w:sz w:val="24"/>
                <w:szCs w:val="24"/>
                <w:lang w:val="en-US"/>
              </w:rPr>
              <w:t>There will be revenue expenditure in excess of £0.5m and two or more wards of the Borough will be affected</w:t>
            </w:r>
          </w:p>
          <w:p w14:paraId="54246BD5" w14:textId="77777777" w:rsidR="00024A22" w:rsidRPr="005B7300" w:rsidRDefault="00024A22" w:rsidP="00D0460C">
            <w:pPr>
              <w:pStyle w:val="Infotext"/>
              <w:rPr>
                <w:rFonts w:cs="Arial"/>
                <w:sz w:val="24"/>
                <w:szCs w:val="24"/>
              </w:rPr>
            </w:pPr>
          </w:p>
        </w:tc>
      </w:tr>
      <w:tr w:rsidR="00D0460C" w14:paraId="49D6C907" w14:textId="77777777" w:rsidTr="00EB3CF0">
        <w:tc>
          <w:tcPr>
            <w:tcW w:w="3456" w:type="dxa"/>
          </w:tcPr>
          <w:p w14:paraId="6986BA7F" w14:textId="77777777" w:rsidR="00D0460C" w:rsidRPr="00C13A5F" w:rsidRDefault="00D0460C" w:rsidP="00D0460C">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70AD77B8" w14:textId="77777777" w:rsidR="00D0460C" w:rsidRPr="005B7300" w:rsidRDefault="00D0460C" w:rsidP="00024A22">
            <w:pPr>
              <w:autoSpaceDE w:val="0"/>
              <w:autoSpaceDN w:val="0"/>
              <w:adjustRightInd w:val="0"/>
              <w:rPr>
                <w:rFonts w:cs="Arial"/>
                <w:szCs w:val="24"/>
              </w:rPr>
            </w:pPr>
            <w:r w:rsidRPr="005B7300">
              <w:rPr>
                <w:rFonts w:cs="Arial"/>
                <w:szCs w:val="24"/>
              </w:rPr>
              <w:t>Paul Hewitt, Corporate Director People Services</w:t>
            </w:r>
          </w:p>
        </w:tc>
      </w:tr>
      <w:tr w:rsidR="00D0460C" w14:paraId="1F43A440" w14:textId="77777777" w:rsidTr="00EB3CF0">
        <w:tc>
          <w:tcPr>
            <w:tcW w:w="3456" w:type="dxa"/>
          </w:tcPr>
          <w:p w14:paraId="4FEADCB2" w14:textId="77777777" w:rsidR="00D0460C" w:rsidRPr="00C13A5F" w:rsidRDefault="00D0460C" w:rsidP="00D0460C">
            <w:pPr>
              <w:pStyle w:val="Infotext"/>
              <w:spacing w:after="240"/>
              <w:rPr>
                <w:rFonts w:ascii="Arial Black" w:hAnsi="Arial Black"/>
              </w:rPr>
            </w:pPr>
            <w:r w:rsidRPr="00DB6C3D">
              <w:rPr>
                <w:rFonts w:ascii="Arial Black" w:hAnsi="Arial Black"/>
              </w:rPr>
              <w:t>Portfolio Holder:</w:t>
            </w:r>
          </w:p>
        </w:tc>
        <w:tc>
          <w:tcPr>
            <w:tcW w:w="5054" w:type="dxa"/>
          </w:tcPr>
          <w:p w14:paraId="002179A0" w14:textId="77777777" w:rsidR="00D0460C" w:rsidRPr="005B7300" w:rsidRDefault="00D0460C" w:rsidP="00D0460C">
            <w:pPr>
              <w:pStyle w:val="Infotext"/>
              <w:rPr>
                <w:rFonts w:cs="Arial"/>
                <w:sz w:val="24"/>
                <w:szCs w:val="24"/>
              </w:rPr>
            </w:pPr>
            <w:r w:rsidRPr="005B7300">
              <w:rPr>
                <w:rFonts w:cs="Arial"/>
                <w:sz w:val="24"/>
                <w:szCs w:val="24"/>
              </w:rPr>
              <w:t>Councillor Simon Brown, Portfolio Holder for Adults and Public Health</w:t>
            </w:r>
          </w:p>
        </w:tc>
      </w:tr>
      <w:tr w:rsidR="00D0460C" w14:paraId="33D9FD0D" w14:textId="77777777" w:rsidTr="00EB3CF0">
        <w:tc>
          <w:tcPr>
            <w:tcW w:w="3456" w:type="dxa"/>
          </w:tcPr>
          <w:p w14:paraId="0100FCC7" w14:textId="77777777" w:rsidR="00D0460C" w:rsidRPr="00C13A5F" w:rsidRDefault="00D0460C" w:rsidP="00D0460C">
            <w:pPr>
              <w:pStyle w:val="Infotext"/>
              <w:spacing w:after="240"/>
              <w:rPr>
                <w:rFonts w:ascii="Arial Black" w:hAnsi="Arial Black"/>
              </w:rPr>
            </w:pPr>
            <w:r w:rsidRPr="00DB6C3D">
              <w:rPr>
                <w:rFonts w:ascii="Arial Black" w:hAnsi="Arial Black"/>
              </w:rPr>
              <w:t>Exempt:</w:t>
            </w:r>
          </w:p>
        </w:tc>
        <w:tc>
          <w:tcPr>
            <w:tcW w:w="5054" w:type="dxa"/>
          </w:tcPr>
          <w:p w14:paraId="1DEE11C5" w14:textId="77777777" w:rsidR="00D0460C" w:rsidRPr="005E3A10" w:rsidRDefault="00D0460C" w:rsidP="00D0460C">
            <w:pPr>
              <w:pStyle w:val="Infotext"/>
              <w:rPr>
                <w:rFonts w:cs="Arial"/>
                <w:sz w:val="24"/>
                <w:szCs w:val="24"/>
              </w:rPr>
            </w:pPr>
            <w:r w:rsidRPr="005E3A10">
              <w:rPr>
                <w:rFonts w:cs="Arial"/>
                <w:sz w:val="24"/>
                <w:szCs w:val="24"/>
              </w:rPr>
              <w:t>No</w:t>
            </w:r>
          </w:p>
          <w:p w14:paraId="512C843D" w14:textId="77777777" w:rsidR="00D0460C" w:rsidRPr="005E3A10" w:rsidRDefault="00D0460C" w:rsidP="00D0460C">
            <w:pPr>
              <w:pStyle w:val="Infotext"/>
              <w:rPr>
                <w:rFonts w:cs="Arial"/>
                <w:color w:val="FF0000"/>
                <w:sz w:val="24"/>
                <w:szCs w:val="24"/>
              </w:rPr>
            </w:pPr>
          </w:p>
        </w:tc>
      </w:tr>
      <w:tr w:rsidR="00D0460C" w14:paraId="78F31FB9" w14:textId="77777777" w:rsidTr="00EB3CF0">
        <w:tc>
          <w:tcPr>
            <w:tcW w:w="3456" w:type="dxa"/>
          </w:tcPr>
          <w:p w14:paraId="4CCDB8A2" w14:textId="77777777" w:rsidR="00D0460C" w:rsidRPr="00C13A5F" w:rsidRDefault="00D0460C" w:rsidP="00D0460C">
            <w:pPr>
              <w:pStyle w:val="Infotext"/>
              <w:spacing w:after="240"/>
              <w:rPr>
                <w:rFonts w:ascii="Arial Black" w:hAnsi="Arial Black"/>
              </w:rPr>
            </w:pPr>
            <w:r w:rsidRPr="00DB6C3D">
              <w:rPr>
                <w:rFonts w:ascii="Arial Black" w:hAnsi="Arial Black"/>
              </w:rPr>
              <w:t>Decision subject to Call-in:</w:t>
            </w:r>
          </w:p>
        </w:tc>
        <w:tc>
          <w:tcPr>
            <w:tcW w:w="5054" w:type="dxa"/>
          </w:tcPr>
          <w:p w14:paraId="0B3101AF" w14:textId="77777777" w:rsidR="00D0460C" w:rsidRPr="005E3A10" w:rsidRDefault="00D0460C" w:rsidP="00D0460C">
            <w:pPr>
              <w:pStyle w:val="Infotext"/>
              <w:rPr>
                <w:rFonts w:cs="Arial"/>
                <w:sz w:val="24"/>
                <w:szCs w:val="24"/>
              </w:rPr>
            </w:pPr>
            <w:r w:rsidRPr="005E3A10">
              <w:rPr>
                <w:rFonts w:cs="Arial"/>
                <w:sz w:val="24"/>
                <w:szCs w:val="24"/>
              </w:rPr>
              <w:t xml:space="preserve">Yes </w:t>
            </w:r>
          </w:p>
          <w:p w14:paraId="721A6073" w14:textId="77777777" w:rsidR="00D0460C" w:rsidRPr="005E3A10" w:rsidRDefault="00D0460C" w:rsidP="00D0460C">
            <w:pPr>
              <w:rPr>
                <w:rFonts w:cs="Arial"/>
                <w:szCs w:val="24"/>
              </w:rPr>
            </w:pPr>
          </w:p>
        </w:tc>
      </w:tr>
      <w:tr w:rsidR="00D0460C" w14:paraId="07DAD368" w14:textId="77777777" w:rsidTr="00EB3CF0">
        <w:tc>
          <w:tcPr>
            <w:tcW w:w="3456" w:type="dxa"/>
          </w:tcPr>
          <w:p w14:paraId="2214F777" w14:textId="77777777" w:rsidR="00D0460C" w:rsidRPr="00C13A5F" w:rsidRDefault="00D0460C" w:rsidP="00D0460C">
            <w:pPr>
              <w:pStyle w:val="Infotext"/>
              <w:spacing w:after="240"/>
              <w:rPr>
                <w:rFonts w:ascii="Arial Black" w:hAnsi="Arial Black" w:cs="Arial"/>
              </w:rPr>
            </w:pPr>
            <w:r>
              <w:rPr>
                <w:rFonts w:ascii="Arial Black" w:hAnsi="Arial Black" w:cs="Arial"/>
              </w:rPr>
              <w:t>Wards affected:</w:t>
            </w:r>
          </w:p>
        </w:tc>
        <w:tc>
          <w:tcPr>
            <w:tcW w:w="5054" w:type="dxa"/>
          </w:tcPr>
          <w:p w14:paraId="1966626E" w14:textId="77777777" w:rsidR="00D0460C" w:rsidRPr="00307F76" w:rsidRDefault="00D0460C" w:rsidP="00D0460C">
            <w:pPr>
              <w:rPr>
                <w:rFonts w:cs="Arial"/>
                <w:b/>
                <w:color w:val="FF0000"/>
                <w:szCs w:val="24"/>
              </w:rPr>
            </w:pPr>
            <w:r>
              <w:rPr>
                <w:rFonts w:cs="Arial"/>
                <w:szCs w:val="24"/>
              </w:rPr>
              <w:t>All</w:t>
            </w:r>
          </w:p>
        </w:tc>
      </w:tr>
      <w:tr w:rsidR="00D0460C" w14:paraId="68C855E7" w14:textId="77777777" w:rsidTr="00EB3CF0">
        <w:tc>
          <w:tcPr>
            <w:tcW w:w="3456" w:type="dxa"/>
          </w:tcPr>
          <w:p w14:paraId="70ECEE28" w14:textId="77777777" w:rsidR="00D0460C" w:rsidRPr="00C13A5F" w:rsidRDefault="00D0460C" w:rsidP="00D0460C">
            <w:pPr>
              <w:pStyle w:val="Infotext"/>
              <w:spacing w:after="240"/>
              <w:rPr>
                <w:rFonts w:ascii="Arial Black" w:hAnsi="Arial Black" w:cs="Arial"/>
              </w:rPr>
            </w:pPr>
            <w:r w:rsidRPr="00C13A5F">
              <w:rPr>
                <w:rFonts w:ascii="Arial Black" w:hAnsi="Arial Black" w:cs="Arial"/>
              </w:rPr>
              <w:t>Enclosures:</w:t>
            </w:r>
          </w:p>
        </w:tc>
        <w:tc>
          <w:tcPr>
            <w:tcW w:w="5054" w:type="dxa"/>
          </w:tcPr>
          <w:p w14:paraId="46A86B0D" w14:textId="77777777" w:rsidR="00D0460C" w:rsidRDefault="00D0460C" w:rsidP="00D0460C">
            <w:pPr>
              <w:pStyle w:val="Infotext"/>
              <w:rPr>
                <w:rFonts w:cs="Arial"/>
                <w:sz w:val="24"/>
                <w:szCs w:val="24"/>
              </w:rPr>
            </w:pPr>
            <w:r>
              <w:rPr>
                <w:rFonts w:cs="Arial"/>
                <w:sz w:val="24"/>
                <w:szCs w:val="24"/>
              </w:rPr>
              <w:t>None</w:t>
            </w:r>
          </w:p>
          <w:p w14:paraId="461FB142" w14:textId="77777777" w:rsidR="00F1576D" w:rsidRDefault="00F1576D" w:rsidP="00D0460C">
            <w:pPr>
              <w:pStyle w:val="Infotext"/>
              <w:rPr>
                <w:rFonts w:cs="Arial"/>
                <w:sz w:val="24"/>
                <w:szCs w:val="24"/>
              </w:rPr>
            </w:pPr>
          </w:p>
          <w:p w14:paraId="48DFFB28" w14:textId="77777777" w:rsidR="00F1576D" w:rsidRDefault="00F1576D" w:rsidP="00D0460C">
            <w:pPr>
              <w:pStyle w:val="Infotext"/>
              <w:rPr>
                <w:rFonts w:cs="Arial"/>
                <w:sz w:val="24"/>
                <w:szCs w:val="24"/>
              </w:rPr>
            </w:pPr>
          </w:p>
          <w:p w14:paraId="53B300A0" w14:textId="77777777" w:rsidR="00F1576D" w:rsidRDefault="00F1576D" w:rsidP="00D0460C">
            <w:pPr>
              <w:pStyle w:val="Infotext"/>
              <w:rPr>
                <w:rFonts w:cs="Arial"/>
                <w:sz w:val="24"/>
                <w:szCs w:val="24"/>
              </w:rPr>
            </w:pPr>
          </w:p>
          <w:p w14:paraId="152BE4D3" w14:textId="77777777" w:rsidR="00F1576D" w:rsidRDefault="00F1576D" w:rsidP="00D0460C">
            <w:pPr>
              <w:pStyle w:val="Infotext"/>
              <w:rPr>
                <w:rFonts w:cs="Arial"/>
                <w:sz w:val="24"/>
                <w:szCs w:val="24"/>
              </w:rPr>
            </w:pPr>
          </w:p>
          <w:p w14:paraId="4FF63F4E" w14:textId="77777777" w:rsidR="00F1576D" w:rsidRDefault="00F1576D" w:rsidP="00D0460C">
            <w:pPr>
              <w:pStyle w:val="Infotext"/>
              <w:rPr>
                <w:rFonts w:cs="Arial"/>
                <w:sz w:val="24"/>
                <w:szCs w:val="24"/>
              </w:rPr>
            </w:pPr>
          </w:p>
          <w:p w14:paraId="34E76635" w14:textId="77777777" w:rsidR="00F1576D" w:rsidRDefault="00F1576D" w:rsidP="00D0460C">
            <w:pPr>
              <w:pStyle w:val="Infotext"/>
              <w:rPr>
                <w:rFonts w:cs="Arial"/>
                <w:sz w:val="24"/>
                <w:szCs w:val="24"/>
              </w:rPr>
            </w:pPr>
          </w:p>
          <w:p w14:paraId="2C48D50C" w14:textId="77777777" w:rsidR="00F1576D" w:rsidRDefault="00F1576D" w:rsidP="00D0460C">
            <w:pPr>
              <w:pStyle w:val="Infotext"/>
              <w:rPr>
                <w:rFonts w:cs="Arial"/>
                <w:sz w:val="24"/>
                <w:szCs w:val="24"/>
              </w:rPr>
            </w:pPr>
          </w:p>
          <w:p w14:paraId="01220661" w14:textId="77777777" w:rsidR="00F1576D" w:rsidRDefault="00F1576D" w:rsidP="00D0460C">
            <w:pPr>
              <w:pStyle w:val="Infotext"/>
              <w:rPr>
                <w:rFonts w:cs="Arial"/>
                <w:sz w:val="24"/>
                <w:szCs w:val="24"/>
              </w:rPr>
            </w:pPr>
          </w:p>
          <w:p w14:paraId="115B62A0" w14:textId="77777777" w:rsidR="00F1576D" w:rsidRDefault="00F1576D" w:rsidP="00D0460C">
            <w:pPr>
              <w:pStyle w:val="Infotext"/>
              <w:rPr>
                <w:rFonts w:cs="Arial"/>
                <w:sz w:val="24"/>
                <w:szCs w:val="24"/>
              </w:rPr>
            </w:pPr>
          </w:p>
          <w:p w14:paraId="79E34E1E" w14:textId="77777777" w:rsidR="00F1576D" w:rsidRDefault="00F1576D" w:rsidP="00D0460C">
            <w:pPr>
              <w:pStyle w:val="Infotext"/>
              <w:rPr>
                <w:rFonts w:cs="Arial"/>
                <w:sz w:val="24"/>
                <w:szCs w:val="24"/>
              </w:rPr>
            </w:pPr>
          </w:p>
          <w:p w14:paraId="2038D0DF" w14:textId="77777777" w:rsidR="00F1576D" w:rsidRDefault="00F1576D" w:rsidP="00D0460C">
            <w:pPr>
              <w:pStyle w:val="Infotext"/>
              <w:rPr>
                <w:rFonts w:cs="Arial"/>
                <w:sz w:val="24"/>
                <w:szCs w:val="24"/>
              </w:rPr>
            </w:pPr>
          </w:p>
          <w:p w14:paraId="3EB1AF63" w14:textId="77777777" w:rsidR="00F1576D" w:rsidRDefault="00F1576D" w:rsidP="00D0460C">
            <w:pPr>
              <w:pStyle w:val="Infotext"/>
              <w:rPr>
                <w:rFonts w:cs="Arial"/>
                <w:sz w:val="24"/>
                <w:szCs w:val="24"/>
              </w:rPr>
            </w:pPr>
          </w:p>
          <w:p w14:paraId="41A24188" w14:textId="77777777" w:rsidR="00F1576D" w:rsidRDefault="00F1576D" w:rsidP="00D0460C">
            <w:pPr>
              <w:pStyle w:val="Infotext"/>
              <w:rPr>
                <w:rFonts w:cs="Arial"/>
                <w:sz w:val="24"/>
                <w:szCs w:val="24"/>
              </w:rPr>
            </w:pPr>
          </w:p>
          <w:p w14:paraId="08B8CCB6" w14:textId="77777777" w:rsidR="00F1576D" w:rsidRDefault="00F1576D" w:rsidP="00D0460C">
            <w:pPr>
              <w:pStyle w:val="Infotext"/>
              <w:rPr>
                <w:rFonts w:cs="Arial"/>
                <w:sz w:val="24"/>
                <w:szCs w:val="24"/>
              </w:rPr>
            </w:pPr>
          </w:p>
          <w:p w14:paraId="34920E7A" w14:textId="77777777" w:rsidR="00F1576D" w:rsidRDefault="00F1576D" w:rsidP="00D0460C">
            <w:pPr>
              <w:pStyle w:val="Infotext"/>
              <w:rPr>
                <w:rFonts w:cs="Arial"/>
                <w:sz w:val="24"/>
                <w:szCs w:val="24"/>
              </w:rPr>
            </w:pPr>
          </w:p>
          <w:p w14:paraId="6242262D" w14:textId="77777777" w:rsidR="00F1576D" w:rsidRDefault="00F1576D" w:rsidP="00D0460C">
            <w:pPr>
              <w:pStyle w:val="Infotext"/>
              <w:rPr>
                <w:rFonts w:cs="Arial"/>
                <w:sz w:val="24"/>
                <w:szCs w:val="24"/>
              </w:rPr>
            </w:pPr>
          </w:p>
          <w:p w14:paraId="1EBF6D9B" w14:textId="77777777" w:rsidR="00F1576D" w:rsidRDefault="00F1576D" w:rsidP="00D0460C">
            <w:pPr>
              <w:pStyle w:val="Infotext"/>
              <w:rPr>
                <w:rFonts w:cs="Arial"/>
                <w:sz w:val="24"/>
                <w:szCs w:val="24"/>
              </w:rPr>
            </w:pPr>
          </w:p>
          <w:p w14:paraId="30DCA44F" w14:textId="77777777" w:rsidR="00F1576D" w:rsidRDefault="00F1576D" w:rsidP="00D0460C">
            <w:pPr>
              <w:pStyle w:val="Infotext"/>
              <w:rPr>
                <w:rFonts w:cs="Arial"/>
                <w:sz w:val="24"/>
                <w:szCs w:val="24"/>
              </w:rPr>
            </w:pPr>
          </w:p>
          <w:p w14:paraId="4C796945" w14:textId="55B1E004" w:rsidR="00F1576D" w:rsidRPr="005E3A10" w:rsidRDefault="00F1576D" w:rsidP="00D0460C">
            <w:pPr>
              <w:pStyle w:val="Infotext"/>
              <w:rPr>
                <w:color w:val="FF0000"/>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525"/>
      </w:tblGrid>
      <w:tr w:rsidR="00333FAA" w14:paraId="22A44808" w14:textId="77777777" w:rsidTr="00221A93">
        <w:trPr>
          <w:tblHeader/>
        </w:trPr>
        <w:tc>
          <w:tcPr>
            <w:tcW w:w="8525" w:type="dxa"/>
            <w:tcBorders>
              <w:top w:val="nil"/>
              <w:left w:val="nil"/>
              <w:right w:val="nil"/>
            </w:tcBorders>
          </w:tcPr>
          <w:p w14:paraId="689476F3" w14:textId="77777777" w:rsidR="00333FAA" w:rsidRDefault="00333FAA" w:rsidP="00605A4C">
            <w:pPr>
              <w:pStyle w:val="Heading2"/>
              <w:spacing w:after="240"/>
            </w:pPr>
            <w:r>
              <w:lastRenderedPageBreak/>
              <w:t>Section 1 – Summary and Recommendations</w:t>
            </w:r>
          </w:p>
        </w:tc>
      </w:tr>
      <w:tr w:rsidR="00333FAA" w14:paraId="0DA5B041" w14:textId="77777777" w:rsidTr="00221A93">
        <w:trPr>
          <w:tblHeader/>
        </w:trPr>
        <w:tc>
          <w:tcPr>
            <w:tcW w:w="8525" w:type="dxa"/>
          </w:tcPr>
          <w:p w14:paraId="136C2922" w14:textId="77777777" w:rsidR="003A355A" w:rsidRDefault="003A355A" w:rsidP="003A355A">
            <w:r>
              <w:t>This report updates Cabinet on the progress to implement the Adult Social Care Extra Strategy agreed in November 2018 and outlines the procurement approach to the rel</w:t>
            </w:r>
            <w:r w:rsidR="005F08D6">
              <w:t>ated</w:t>
            </w:r>
            <w:r>
              <w:t xml:space="preserve"> services.  </w:t>
            </w:r>
          </w:p>
          <w:p w14:paraId="3772C91B" w14:textId="77777777" w:rsidR="001C7E35" w:rsidRPr="00605A4C" w:rsidRDefault="00605A4C" w:rsidP="00E13BEF">
            <w:pPr>
              <w:pStyle w:val="Heading3"/>
              <w:spacing w:before="240"/>
            </w:pPr>
            <w:r>
              <w:t>Recommen</w:t>
            </w:r>
            <w:r w:rsidR="001C7E35" w:rsidRPr="00605A4C">
              <w:t xml:space="preserve">dations: </w:t>
            </w:r>
          </w:p>
          <w:p w14:paraId="4999DCC9" w14:textId="77777777" w:rsidR="003A355A" w:rsidRDefault="003A355A" w:rsidP="000E393E">
            <w:pPr>
              <w:pStyle w:val="ListParagraph"/>
              <w:numPr>
                <w:ilvl w:val="0"/>
                <w:numId w:val="4"/>
              </w:numPr>
            </w:pPr>
            <w:r>
              <w:t>Note the progress to date on the implementation of the Extra Care Strategy.</w:t>
            </w:r>
          </w:p>
          <w:p w14:paraId="2EB7EBE7" w14:textId="77777777" w:rsidR="003A355A" w:rsidRDefault="003A355A" w:rsidP="003A355A"/>
          <w:p w14:paraId="60E1D16F" w14:textId="6A86F889" w:rsidR="003A355A" w:rsidRDefault="003A355A" w:rsidP="000E393E">
            <w:pPr>
              <w:pStyle w:val="ListParagraph"/>
              <w:numPr>
                <w:ilvl w:val="0"/>
                <w:numId w:val="4"/>
              </w:numPr>
            </w:pPr>
            <w:r>
              <w:t xml:space="preserve">Delegate authority to the </w:t>
            </w:r>
            <w:r w:rsidR="00122E20">
              <w:t xml:space="preserve">Corporate </w:t>
            </w:r>
            <w:r w:rsidR="009E0EF8">
              <w:t>D</w:t>
            </w:r>
            <w:r w:rsidR="00122E20">
              <w:t xml:space="preserve">irector of People Service and Director of Finance in </w:t>
            </w:r>
            <w:r>
              <w:t>consultation with the Portfolio Holder for Adults and Public Health and the Portfolio Holder for Finance and Resources, to</w:t>
            </w:r>
            <w:r w:rsidR="00122E20">
              <w:t xml:space="preserve"> agree the final procurement strategy and undertake the </w:t>
            </w:r>
            <w:r>
              <w:t xml:space="preserve"> procure</w:t>
            </w:r>
            <w:r w:rsidR="00122E20">
              <w:t>ment of</w:t>
            </w:r>
            <w:r>
              <w:t xml:space="preserve"> the provision of extra care wellbeing services. </w:t>
            </w:r>
          </w:p>
          <w:p w14:paraId="522C8B54" w14:textId="77777777" w:rsidR="003A355A" w:rsidRDefault="003A355A" w:rsidP="003A355A">
            <w:pPr>
              <w:ind w:firstLine="68"/>
            </w:pPr>
          </w:p>
          <w:p w14:paraId="11EA06F6" w14:textId="49726B17" w:rsidR="003A355A" w:rsidRDefault="003A355A" w:rsidP="000E393E">
            <w:pPr>
              <w:pStyle w:val="ListParagraph"/>
              <w:numPr>
                <w:ilvl w:val="0"/>
                <w:numId w:val="4"/>
              </w:numPr>
            </w:pPr>
            <w:r>
              <w:t>Delegate authority to the Corporate Director</w:t>
            </w:r>
            <w:r w:rsidR="003F60B5">
              <w:t xml:space="preserve"> People Services and Director of Finance</w:t>
            </w:r>
            <w:r>
              <w:t xml:space="preserve">, following consultation with the Portfolio Holder for Adults and Public Health and the Portfolio Holder for Finance and Resources, to award the contracts for the provision of extra care wellbeing services.   </w:t>
            </w:r>
          </w:p>
          <w:p w14:paraId="5A19BEFE" w14:textId="77777777" w:rsidR="003A355A" w:rsidRDefault="003A355A" w:rsidP="003A355A">
            <w:r>
              <w:t xml:space="preserve"> </w:t>
            </w:r>
          </w:p>
          <w:p w14:paraId="75CAAD13" w14:textId="77777777" w:rsidR="00333FAA" w:rsidRDefault="003A355A" w:rsidP="003A355A">
            <w:r w:rsidRPr="003A355A">
              <w:rPr>
                <w:b/>
                <w:bCs/>
                <w:sz w:val="28"/>
                <w:szCs w:val="28"/>
              </w:rPr>
              <w:t xml:space="preserve">Reason </w:t>
            </w:r>
            <w:r>
              <w:t xml:space="preserve">(for recommendations): To progress the development and implementation of the strategy to increase Extra Care housing provision in Harrow. </w:t>
            </w:r>
          </w:p>
          <w:p w14:paraId="28C0F5E2" w14:textId="378B4B0B" w:rsidR="00C9179F" w:rsidRDefault="00C9179F" w:rsidP="003A355A"/>
        </w:tc>
      </w:tr>
    </w:tbl>
    <w:p w14:paraId="2867563A" w14:textId="77777777" w:rsidR="00333FAA" w:rsidRDefault="00333FAA" w:rsidP="00F06E4E">
      <w:pPr>
        <w:pStyle w:val="Heading2"/>
        <w:spacing w:before="480"/>
      </w:pPr>
      <w:r>
        <w:t>Section 2 – Report</w:t>
      </w:r>
    </w:p>
    <w:p w14:paraId="1F63B3C8" w14:textId="77777777" w:rsidR="001C7E35" w:rsidRDefault="001C7E35" w:rsidP="00F06E4E">
      <w:pPr>
        <w:pStyle w:val="Heading3"/>
        <w:spacing w:before="240"/>
      </w:pPr>
      <w:r>
        <w:t>Introductory paragraph</w:t>
      </w:r>
    </w:p>
    <w:p w14:paraId="4EF4C8C9" w14:textId="0992D0C5" w:rsidR="007B0A38" w:rsidRDefault="005F08D6" w:rsidP="000E393E">
      <w:pPr>
        <w:pStyle w:val="Default"/>
        <w:numPr>
          <w:ilvl w:val="0"/>
          <w:numId w:val="5"/>
        </w:numPr>
        <w:rPr>
          <w:rStyle w:val="A7"/>
          <w:rFonts w:ascii="Arial" w:hAnsi="Arial" w:cs="Arial"/>
          <w:color w:val="auto"/>
          <w:sz w:val="24"/>
          <w:szCs w:val="24"/>
        </w:rPr>
      </w:pPr>
      <w:r w:rsidRPr="005B7300">
        <w:rPr>
          <w:rStyle w:val="A7"/>
          <w:rFonts w:ascii="Arial" w:hAnsi="Arial" w:cs="Arial"/>
          <w:color w:val="auto"/>
          <w:sz w:val="24"/>
          <w:szCs w:val="24"/>
        </w:rPr>
        <w:t xml:space="preserve">Cabinet agreed the Extra Care Strategy in November 2018. The aim of extra care housing is to meet the housing, care and support needs of older people as an alternative to residential care which are not the most appropriate or </w:t>
      </w:r>
      <w:r w:rsidR="004632C3" w:rsidRPr="005B7300">
        <w:rPr>
          <w:rStyle w:val="A7"/>
          <w:rFonts w:ascii="Arial" w:hAnsi="Arial" w:cs="Arial"/>
          <w:color w:val="auto"/>
          <w:sz w:val="24"/>
          <w:szCs w:val="24"/>
        </w:rPr>
        <w:t>cost-effective</w:t>
      </w:r>
      <w:r w:rsidRPr="005B7300">
        <w:rPr>
          <w:rStyle w:val="A7"/>
          <w:rFonts w:ascii="Arial" w:hAnsi="Arial" w:cs="Arial"/>
          <w:color w:val="auto"/>
          <w:sz w:val="24"/>
          <w:szCs w:val="24"/>
        </w:rPr>
        <w:t xml:space="preserve"> approaches to meet needs and maintain health and wellbeing. This is particularly important in the context of an ageing population, increasing demand for services and budget challenges in local government. </w:t>
      </w:r>
    </w:p>
    <w:p w14:paraId="1FC7ABA7" w14:textId="77777777" w:rsidR="007B0A38" w:rsidRDefault="007B0A38" w:rsidP="007B0A38">
      <w:pPr>
        <w:pStyle w:val="Default"/>
        <w:ind w:left="360"/>
        <w:rPr>
          <w:rStyle w:val="A7"/>
          <w:rFonts w:ascii="Arial" w:hAnsi="Arial" w:cs="Arial"/>
          <w:color w:val="auto"/>
          <w:sz w:val="24"/>
          <w:szCs w:val="24"/>
        </w:rPr>
      </w:pPr>
    </w:p>
    <w:p w14:paraId="4A10D6F8" w14:textId="77777777" w:rsidR="005F08D6" w:rsidRPr="007B0A38" w:rsidRDefault="005F08D6" w:rsidP="000E393E">
      <w:pPr>
        <w:pStyle w:val="ListParagraph"/>
        <w:numPr>
          <w:ilvl w:val="0"/>
          <w:numId w:val="5"/>
        </w:numPr>
        <w:rPr>
          <w:rStyle w:val="A7"/>
          <w:rFonts w:cs="Arial"/>
          <w:color w:val="auto"/>
          <w:sz w:val="24"/>
          <w:szCs w:val="24"/>
        </w:rPr>
      </w:pPr>
      <w:r w:rsidRPr="007B0A38">
        <w:rPr>
          <w:rStyle w:val="A7"/>
          <w:rFonts w:cs="Arial"/>
          <w:color w:val="auto"/>
          <w:sz w:val="24"/>
          <w:szCs w:val="24"/>
        </w:rPr>
        <w:t xml:space="preserve">The Extra Care Strategy </w:t>
      </w:r>
      <w:r w:rsidR="007B0A38" w:rsidRPr="007B0A38">
        <w:rPr>
          <w:rFonts w:cs="Arial"/>
          <w:szCs w:val="24"/>
        </w:rPr>
        <w:t>described the vision for extra care in Harrow, presented the estimated demand for extra care arising from demographic growth and increasing levels of needs and outlined a phase approach to increase provision to meet the additional needs. O</w:t>
      </w:r>
      <w:r w:rsidRPr="007B0A38">
        <w:rPr>
          <w:rStyle w:val="A7"/>
          <w:rFonts w:cs="Arial"/>
          <w:color w:val="auto"/>
          <w:sz w:val="24"/>
          <w:szCs w:val="24"/>
        </w:rPr>
        <w:t xml:space="preserve">ptions to </w:t>
      </w:r>
      <w:r w:rsidR="007B0A38" w:rsidRPr="007B0A38">
        <w:rPr>
          <w:rStyle w:val="A7"/>
          <w:rFonts w:cs="Arial"/>
          <w:color w:val="auto"/>
          <w:sz w:val="24"/>
          <w:szCs w:val="24"/>
        </w:rPr>
        <w:t xml:space="preserve">explore to </w:t>
      </w:r>
      <w:r w:rsidRPr="007B0A38">
        <w:rPr>
          <w:rStyle w:val="A7"/>
          <w:rFonts w:cs="Arial"/>
          <w:color w:val="auto"/>
          <w:sz w:val="24"/>
          <w:szCs w:val="24"/>
        </w:rPr>
        <w:t xml:space="preserve">meet the projected demand for extra care housing in Harrow </w:t>
      </w:r>
      <w:r w:rsidR="007B0A38" w:rsidRPr="007B0A38">
        <w:rPr>
          <w:rStyle w:val="A7"/>
          <w:rFonts w:cs="Arial"/>
          <w:color w:val="auto"/>
          <w:sz w:val="24"/>
          <w:szCs w:val="24"/>
        </w:rPr>
        <w:t>included</w:t>
      </w:r>
      <w:r w:rsidRPr="007B0A38">
        <w:rPr>
          <w:rStyle w:val="A7"/>
          <w:rFonts w:cs="Arial"/>
          <w:color w:val="auto"/>
          <w:sz w:val="24"/>
          <w:szCs w:val="24"/>
        </w:rPr>
        <w:t xml:space="preserve"> new development</w:t>
      </w:r>
      <w:r w:rsidR="007B0A38" w:rsidRPr="007B0A38">
        <w:rPr>
          <w:rStyle w:val="A7"/>
          <w:rFonts w:cs="Arial"/>
          <w:color w:val="auto"/>
          <w:sz w:val="24"/>
          <w:szCs w:val="24"/>
        </w:rPr>
        <w:t>s</w:t>
      </w:r>
      <w:r w:rsidRPr="007B0A38">
        <w:rPr>
          <w:rStyle w:val="A7"/>
          <w:rFonts w:cs="Arial"/>
          <w:color w:val="auto"/>
          <w:sz w:val="24"/>
          <w:szCs w:val="24"/>
        </w:rPr>
        <w:t xml:space="preserve"> and re-commissioning existing older persons housing schemes owned by the </w:t>
      </w:r>
      <w:r w:rsidR="009D06F0" w:rsidRPr="007B0A38">
        <w:rPr>
          <w:rStyle w:val="A7"/>
          <w:rFonts w:cs="Arial"/>
          <w:color w:val="auto"/>
          <w:sz w:val="24"/>
          <w:szCs w:val="24"/>
        </w:rPr>
        <w:t>C</w:t>
      </w:r>
      <w:r w:rsidRPr="007B0A38">
        <w:rPr>
          <w:rStyle w:val="A7"/>
          <w:rFonts w:cs="Arial"/>
          <w:color w:val="auto"/>
          <w:sz w:val="24"/>
          <w:szCs w:val="24"/>
        </w:rPr>
        <w:t xml:space="preserve">ouncil and housing association partners. </w:t>
      </w:r>
    </w:p>
    <w:p w14:paraId="04764B7F" w14:textId="77777777" w:rsidR="002C5A5F" w:rsidRPr="003333AD" w:rsidRDefault="002C5A5F" w:rsidP="003333AD">
      <w:pPr>
        <w:pStyle w:val="Default"/>
        <w:rPr>
          <w:rStyle w:val="A7"/>
          <w:rFonts w:ascii="Arial" w:hAnsi="Arial" w:cs="Arial"/>
          <w:color w:val="auto"/>
          <w:sz w:val="24"/>
          <w:szCs w:val="24"/>
        </w:rPr>
      </w:pPr>
    </w:p>
    <w:p w14:paraId="2B005D19" w14:textId="438D7AE6" w:rsidR="003A355A" w:rsidRPr="009D06F0" w:rsidRDefault="003A355A" w:rsidP="000E393E">
      <w:pPr>
        <w:pStyle w:val="Default"/>
        <w:numPr>
          <w:ilvl w:val="0"/>
          <w:numId w:val="5"/>
        </w:numPr>
        <w:rPr>
          <w:rStyle w:val="A7"/>
          <w:rFonts w:ascii="Arial" w:hAnsi="Arial" w:cs="Arial"/>
          <w:color w:val="auto"/>
          <w:sz w:val="24"/>
          <w:szCs w:val="24"/>
        </w:rPr>
      </w:pPr>
      <w:r w:rsidRPr="009D06F0">
        <w:rPr>
          <w:rStyle w:val="A7"/>
          <w:rFonts w:ascii="Arial" w:hAnsi="Arial" w:cs="Arial"/>
          <w:color w:val="auto"/>
          <w:sz w:val="24"/>
          <w:szCs w:val="24"/>
        </w:rPr>
        <w:t>This report outlines the progress to implement Harrow’s Extra Care Strategy since Cabinet’s approval of the Strategy in November 2018.</w:t>
      </w:r>
    </w:p>
    <w:p w14:paraId="48004B72" w14:textId="77777777" w:rsidR="003A355A" w:rsidRDefault="003A355A" w:rsidP="003A355A">
      <w:pPr>
        <w:autoSpaceDE w:val="0"/>
        <w:autoSpaceDN w:val="0"/>
        <w:adjustRightInd w:val="0"/>
        <w:rPr>
          <w:rFonts w:eastAsia="Calibri"/>
        </w:rPr>
      </w:pPr>
    </w:p>
    <w:p w14:paraId="4E5B2A35" w14:textId="77777777" w:rsidR="003A355A" w:rsidRPr="009517E4" w:rsidRDefault="003A355A" w:rsidP="003A355A">
      <w:pPr>
        <w:pStyle w:val="Heading2"/>
        <w:rPr>
          <w:sz w:val="24"/>
          <w:szCs w:val="24"/>
        </w:rPr>
      </w:pPr>
      <w:r w:rsidRPr="00F3705A">
        <w:rPr>
          <w:sz w:val="24"/>
          <w:szCs w:val="24"/>
        </w:rPr>
        <w:t>Options considered</w:t>
      </w:r>
    </w:p>
    <w:p w14:paraId="1A6F0C45" w14:textId="77777777" w:rsidR="003A355A" w:rsidRPr="003A355A" w:rsidRDefault="003A355A" w:rsidP="000E393E">
      <w:pPr>
        <w:pStyle w:val="Heading2"/>
        <w:numPr>
          <w:ilvl w:val="0"/>
          <w:numId w:val="5"/>
        </w:numPr>
        <w:spacing w:before="240"/>
        <w:rPr>
          <w:rFonts w:ascii="Arial" w:hAnsi="Arial"/>
          <w:b w:val="0"/>
          <w:bCs w:val="0"/>
          <w:sz w:val="24"/>
          <w:szCs w:val="24"/>
        </w:rPr>
      </w:pPr>
      <w:r w:rsidRPr="003A355A">
        <w:rPr>
          <w:rFonts w:ascii="Arial" w:hAnsi="Arial"/>
          <w:b w:val="0"/>
          <w:bCs w:val="0"/>
          <w:sz w:val="24"/>
          <w:szCs w:val="24"/>
        </w:rPr>
        <w:t xml:space="preserve">The following options have been considered: </w:t>
      </w:r>
    </w:p>
    <w:p w14:paraId="313684D0" w14:textId="26CC8969" w:rsidR="003A355A" w:rsidRDefault="003A355A" w:rsidP="00C9179F">
      <w:pPr>
        <w:pStyle w:val="Heading2"/>
        <w:numPr>
          <w:ilvl w:val="0"/>
          <w:numId w:val="6"/>
        </w:numPr>
        <w:spacing w:before="240"/>
        <w:ind w:hanging="153"/>
        <w:rPr>
          <w:rFonts w:ascii="Arial" w:hAnsi="Arial"/>
          <w:b w:val="0"/>
          <w:bCs w:val="0"/>
          <w:sz w:val="24"/>
          <w:szCs w:val="24"/>
        </w:rPr>
      </w:pPr>
      <w:r w:rsidRPr="003A355A">
        <w:rPr>
          <w:rFonts w:ascii="Arial" w:hAnsi="Arial"/>
          <w:b w:val="0"/>
          <w:bCs w:val="0"/>
          <w:sz w:val="24"/>
          <w:szCs w:val="24"/>
        </w:rPr>
        <w:t xml:space="preserve">Do Nothing – this will not enable the Council to meet the demands of an ageing population and improve outcomes for older </w:t>
      </w:r>
      <w:r w:rsidR="004632C3">
        <w:rPr>
          <w:rFonts w:ascii="Arial" w:hAnsi="Arial"/>
          <w:b w:val="0"/>
          <w:bCs w:val="0"/>
          <w:sz w:val="24"/>
          <w:szCs w:val="24"/>
        </w:rPr>
        <w:t>citizens</w:t>
      </w:r>
      <w:r w:rsidRPr="003A355A">
        <w:rPr>
          <w:rFonts w:ascii="Arial" w:hAnsi="Arial"/>
          <w:b w:val="0"/>
          <w:bCs w:val="0"/>
          <w:sz w:val="24"/>
          <w:szCs w:val="24"/>
        </w:rPr>
        <w:t xml:space="preserve"> within the current challenging financial context. Therefore</w:t>
      </w:r>
      <w:r w:rsidR="00AE1FD2">
        <w:rPr>
          <w:rFonts w:ascii="Arial" w:hAnsi="Arial"/>
          <w:b w:val="0"/>
          <w:bCs w:val="0"/>
          <w:sz w:val="24"/>
          <w:szCs w:val="24"/>
        </w:rPr>
        <w:t>,</w:t>
      </w:r>
      <w:r w:rsidRPr="003A355A">
        <w:rPr>
          <w:rFonts w:ascii="Arial" w:hAnsi="Arial"/>
          <w:b w:val="0"/>
          <w:bCs w:val="0"/>
          <w:sz w:val="24"/>
          <w:szCs w:val="24"/>
        </w:rPr>
        <w:t xml:space="preserve"> new approaches </w:t>
      </w:r>
      <w:r>
        <w:rPr>
          <w:rFonts w:ascii="Arial" w:hAnsi="Arial"/>
          <w:b w:val="0"/>
          <w:bCs w:val="0"/>
          <w:sz w:val="24"/>
          <w:szCs w:val="24"/>
        </w:rPr>
        <w:t>are required to be</w:t>
      </w:r>
      <w:r w:rsidRPr="003A355A">
        <w:rPr>
          <w:rFonts w:ascii="Arial" w:hAnsi="Arial"/>
          <w:b w:val="0"/>
          <w:bCs w:val="0"/>
          <w:sz w:val="24"/>
          <w:szCs w:val="24"/>
        </w:rPr>
        <w:t xml:space="preserve"> considered. </w:t>
      </w:r>
    </w:p>
    <w:p w14:paraId="1391FFEC" w14:textId="13E2ADBA" w:rsidR="003A355A" w:rsidRPr="003A355A" w:rsidRDefault="003A355A" w:rsidP="00C9179F">
      <w:pPr>
        <w:pStyle w:val="Heading2"/>
        <w:numPr>
          <w:ilvl w:val="0"/>
          <w:numId w:val="6"/>
        </w:numPr>
        <w:spacing w:before="240"/>
        <w:ind w:hanging="153"/>
        <w:rPr>
          <w:rFonts w:ascii="Arial" w:hAnsi="Arial"/>
          <w:b w:val="0"/>
          <w:bCs w:val="0"/>
          <w:sz w:val="24"/>
          <w:szCs w:val="24"/>
        </w:rPr>
      </w:pPr>
      <w:r w:rsidRPr="003A355A">
        <w:rPr>
          <w:rFonts w:ascii="Arial" w:hAnsi="Arial"/>
          <w:b w:val="0"/>
          <w:bCs w:val="0"/>
          <w:sz w:val="24"/>
          <w:szCs w:val="24"/>
        </w:rPr>
        <w:t xml:space="preserve">Develop new affordable extra care housing - Harrow currently has a very small amount of extra care housing for its older persons population. Extra care housing offers an alternative to costly residential care </w:t>
      </w:r>
      <w:r w:rsidR="00475734">
        <w:rPr>
          <w:rFonts w:ascii="Arial" w:hAnsi="Arial"/>
          <w:b w:val="0"/>
          <w:bCs w:val="0"/>
          <w:sz w:val="24"/>
          <w:szCs w:val="24"/>
        </w:rPr>
        <w:t>and</w:t>
      </w:r>
      <w:r w:rsidRPr="003A355A">
        <w:rPr>
          <w:rFonts w:ascii="Arial" w:hAnsi="Arial"/>
          <w:b w:val="0"/>
          <w:bCs w:val="0"/>
          <w:sz w:val="24"/>
          <w:szCs w:val="24"/>
        </w:rPr>
        <w:t xml:space="preserve"> is more appropriate and cost effective in meeting needs and maintaining health and wellbeing.  </w:t>
      </w:r>
    </w:p>
    <w:p w14:paraId="6313CAD6" w14:textId="77777777" w:rsidR="003A355A" w:rsidRPr="003A355A" w:rsidRDefault="005F08D6" w:rsidP="000E393E">
      <w:pPr>
        <w:pStyle w:val="Heading2"/>
        <w:numPr>
          <w:ilvl w:val="0"/>
          <w:numId w:val="5"/>
        </w:numPr>
        <w:spacing w:before="240"/>
        <w:rPr>
          <w:rFonts w:ascii="Arial" w:hAnsi="Arial"/>
          <w:b w:val="0"/>
          <w:bCs w:val="0"/>
          <w:sz w:val="24"/>
          <w:szCs w:val="24"/>
        </w:rPr>
      </w:pPr>
      <w:r>
        <w:rPr>
          <w:rFonts w:ascii="Arial" w:hAnsi="Arial"/>
          <w:b w:val="0"/>
          <w:bCs w:val="0"/>
          <w:sz w:val="24"/>
          <w:szCs w:val="24"/>
        </w:rPr>
        <w:t>Option 2 is the preferred option and is underpinned by the Strategy.</w:t>
      </w:r>
    </w:p>
    <w:p w14:paraId="45B3D441" w14:textId="559F33B8" w:rsidR="007B0A38" w:rsidRPr="009C7BBF" w:rsidRDefault="007B0A38" w:rsidP="009C7BBF">
      <w:pPr>
        <w:pStyle w:val="Heading2"/>
        <w:spacing w:before="240"/>
        <w:rPr>
          <w:rFonts w:ascii="Arial" w:hAnsi="Arial"/>
          <w:sz w:val="28"/>
          <w:szCs w:val="28"/>
        </w:rPr>
      </w:pPr>
      <w:r w:rsidRPr="009C7BBF">
        <w:rPr>
          <w:rFonts w:ascii="Arial" w:hAnsi="Arial"/>
          <w:sz w:val="28"/>
          <w:szCs w:val="28"/>
        </w:rPr>
        <w:t xml:space="preserve">Extra Care </w:t>
      </w:r>
      <w:r w:rsidR="00476C71" w:rsidRPr="009C7BBF">
        <w:rPr>
          <w:rFonts w:ascii="Arial" w:hAnsi="Arial"/>
          <w:sz w:val="28"/>
          <w:szCs w:val="28"/>
        </w:rPr>
        <w:t>Demand</w:t>
      </w:r>
    </w:p>
    <w:p w14:paraId="5790019E" w14:textId="77777777" w:rsidR="009C7BBF" w:rsidRPr="009C7BBF" w:rsidRDefault="009C7BBF" w:rsidP="009C7BBF"/>
    <w:p w14:paraId="1EE28DE5" w14:textId="77777777" w:rsidR="00476C71" w:rsidRPr="009C7BBF" w:rsidRDefault="00476C71" w:rsidP="009C7BBF">
      <w:pPr>
        <w:pStyle w:val="ListParagraph"/>
        <w:numPr>
          <w:ilvl w:val="0"/>
          <w:numId w:val="5"/>
        </w:numPr>
        <w:rPr>
          <w:rFonts w:cs="Arial"/>
          <w:szCs w:val="24"/>
        </w:rPr>
      </w:pPr>
      <w:r w:rsidRPr="009C7BBF">
        <w:rPr>
          <w:rFonts w:cs="Arial"/>
          <w:szCs w:val="24"/>
        </w:rPr>
        <w:t xml:space="preserve">The Strategy is underpinned by </w:t>
      </w:r>
      <w:r w:rsidR="007D1AB5" w:rsidRPr="009C7BBF">
        <w:rPr>
          <w:rFonts w:cs="Arial"/>
          <w:szCs w:val="24"/>
        </w:rPr>
        <w:t xml:space="preserve">an assessment of future demand based on the projected population and an assessment of need. </w:t>
      </w:r>
    </w:p>
    <w:p w14:paraId="746A3A38" w14:textId="77777777" w:rsidR="007D1AB5" w:rsidRPr="00BF5AAA" w:rsidRDefault="007D1AB5" w:rsidP="009F53FE">
      <w:pPr>
        <w:rPr>
          <w:rFonts w:cs="Arial"/>
          <w:sz w:val="28"/>
          <w:szCs w:val="28"/>
        </w:rPr>
      </w:pPr>
    </w:p>
    <w:p w14:paraId="2A4860BE" w14:textId="24DB5B0C" w:rsidR="007D1AB5" w:rsidRPr="009C7BBF" w:rsidRDefault="007D1AB5" w:rsidP="009C7BBF">
      <w:pPr>
        <w:pStyle w:val="ListParagraph"/>
        <w:numPr>
          <w:ilvl w:val="0"/>
          <w:numId w:val="5"/>
        </w:numPr>
        <w:rPr>
          <w:rFonts w:ascii="Calibri" w:hAnsi="Calibri"/>
          <w:sz w:val="22"/>
        </w:rPr>
      </w:pPr>
      <w:r>
        <w:t xml:space="preserve">In terms of the population, </w:t>
      </w:r>
      <w:r w:rsidRPr="007D1AB5">
        <w:t xml:space="preserve">Harrow has an ageing population, with an estimated 15 per cent (38,600) of </w:t>
      </w:r>
      <w:r w:rsidR="00AE1FD2">
        <w:t>citizens</w:t>
      </w:r>
      <w:r w:rsidRPr="007D1AB5">
        <w:t xml:space="preserve"> aged 65+. The number of </w:t>
      </w:r>
      <w:r w:rsidR="00AE1FD2">
        <w:t xml:space="preserve">citizens </w:t>
      </w:r>
      <w:r w:rsidRPr="007D1AB5">
        <w:t xml:space="preserve">aged 65+ is projected to increase by 25% over the next 12 years. Dementia rates are projected to increase significantly over the next twelve years by an estimated 37%, from 2500 to just less than 4000. Approximately 67% of the population aged 65+ are White. The largest ethnic minority group is Asian/Asian British (27% of the 65+ population). </w:t>
      </w:r>
    </w:p>
    <w:p w14:paraId="35B4302A" w14:textId="77777777" w:rsidR="007D1AB5" w:rsidRPr="007D1AB5" w:rsidRDefault="007D1AB5" w:rsidP="007D1AB5"/>
    <w:p w14:paraId="5CA89E9C" w14:textId="10DB42B3" w:rsidR="007D1AB5" w:rsidRPr="007D1AB5" w:rsidRDefault="007D1AB5" w:rsidP="009C7BBF">
      <w:pPr>
        <w:pStyle w:val="ListParagraph"/>
        <w:numPr>
          <w:ilvl w:val="0"/>
          <w:numId w:val="5"/>
        </w:numPr>
      </w:pPr>
      <w:r w:rsidRPr="007D1AB5">
        <w:t xml:space="preserve">Harrow will see an increase in the ethnic diversity of its older population. The number of </w:t>
      </w:r>
      <w:r w:rsidR="00AE1FD2">
        <w:t>citizens</w:t>
      </w:r>
      <w:r w:rsidRPr="007D1AB5">
        <w:t xml:space="preserve"> with dementia from Black and Minority Ethnic groups is also predicted to rise, due to the high incidence of high blood pressure, diabetes, stroke and heart disease within these communities, which are risk factors for dementia. </w:t>
      </w:r>
    </w:p>
    <w:p w14:paraId="4BD9C154" w14:textId="77777777" w:rsidR="007D1AB5" w:rsidRDefault="007D1AB5" w:rsidP="007D1AB5"/>
    <w:p w14:paraId="7BDA9A9D" w14:textId="77777777" w:rsidR="00307B54" w:rsidRDefault="007D1AB5" w:rsidP="009C7BBF">
      <w:pPr>
        <w:pStyle w:val="ListParagraph"/>
        <w:numPr>
          <w:ilvl w:val="0"/>
          <w:numId w:val="5"/>
        </w:numPr>
      </w:pPr>
      <w:r w:rsidRPr="007D1AB5">
        <w:t xml:space="preserve">To project the estimated further demand for extra care, officers reviewed a range of data including population projections, patterns of social care placements, trends in the primary need of citizens and case studies. The demand data is based on the current care package trends and includes an up-lift for population growth. </w:t>
      </w:r>
      <w:r w:rsidR="00307B54">
        <w:t>Three categories of need were considered to indicate future demand:</w:t>
      </w:r>
    </w:p>
    <w:p w14:paraId="0C6A76D8" w14:textId="77777777" w:rsidR="00307B54" w:rsidRDefault="00307B54" w:rsidP="007D1AB5"/>
    <w:p w14:paraId="6B5DEF0B" w14:textId="77777777" w:rsidR="007D1AB5" w:rsidRPr="007D1AB5" w:rsidRDefault="007D1AB5" w:rsidP="004632C3">
      <w:pPr>
        <w:pStyle w:val="ListParagraph"/>
        <w:numPr>
          <w:ilvl w:val="0"/>
          <w:numId w:val="7"/>
        </w:numPr>
        <w:ind w:left="1276"/>
      </w:pPr>
      <w:r w:rsidRPr="007D1AB5">
        <w:t xml:space="preserve">Extra Care as an Alternative to Residential Placements </w:t>
      </w:r>
    </w:p>
    <w:p w14:paraId="0DA86A24" w14:textId="77777777" w:rsidR="00307B54" w:rsidRPr="007D1AB5" w:rsidRDefault="00307B54" w:rsidP="004632C3">
      <w:pPr>
        <w:pStyle w:val="ListParagraph"/>
        <w:numPr>
          <w:ilvl w:val="0"/>
          <w:numId w:val="7"/>
        </w:numPr>
        <w:ind w:left="1276"/>
      </w:pPr>
      <w:r w:rsidRPr="007D1AB5">
        <w:t xml:space="preserve">Extra Care as an Alternative to High Cost Community Based Support </w:t>
      </w:r>
    </w:p>
    <w:p w14:paraId="10FCA559" w14:textId="436BCDE7" w:rsidR="00307B54" w:rsidRDefault="00307B54" w:rsidP="004632C3">
      <w:pPr>
        <w:pStyle w:val="ListParagraph"/>
        <w:numPr>
          <w:ilvl w:val="0"/>
          <w:numId w:val="7"/>
        </w:numPr>
        <w:ind w:left="1276"/>
      </w:pPr>
      <w:r w:rsidRPr="007D1AB5">
        <w:t xml:space="preserve">Extra Care for those </w:t>
      </w:r>
      <w:r w:rsidR="00AE1FD2">
        <w:t>Citizens</w:t>
      </w:r>
      <w:r w:rsidRPr="007D1AB5">
        <w:t xml:space="preserve"> with Higher Level Care Needs </w:t>
      </w:r>
    </w:p>
    <w:p w14:paraId="475FF8A2" w14:textId="77777777" w:rsidR="00307B54" w:rsidRDefault="00307B54" w:rsidP="004632C3">
      <w:pPr>
        <w:ind w:left="1276"/>
      </w:pPr>
    </w:p>
    <w:p w14:paraId="4B97C6A8" w14:textId="77777777" w:rsidR="006052D9" w:rsidRDefault="00307B54" w:rsidP="006052D9">
      <w:pPr>
        <w:pStyle w:val="ListParagraph"/>
        <w:numPr>
          <w:ilvl w:val="0"/>
          <w:numId w:val="5"/>
        </w:numPr>
      </w:pPr>
      <w:r w:rsidRPr="007D1AB5">
        <w:t xml:space="preserve">A detailed analysis of need and demand </w:t>
      </w:r>
      <w:r w:rsidR="009C7BBF">
        <w:t xml:space="preserve">was included in the Extra Care Strategy 2018. </w:t>
      </w:r>
      <w:r w:rsidR="006052D9">
        <w:t xml:space="preserve"> This modelled a slowly increasing level of demand up to </w:t>
      </w:r>
      <w:r w:rsidR="006052D9">
        <w:lastRenderedPageBreak/>
        <w:t>2025.  While projected long term demand for extra care is unchanged there have been short term impacts as a result of Covid-19.</w:t>
      </w:r>
    </w:p>
    <w:p w14:paraId="3EA53BE6" w14:textId="77777777" w:rsidR="006052D9" w:rsidRDefault="006052D9" w:rsidP="006052D9">
      <w:pPr>
        <w:pStyle w:val="ListParagraph"/>
        <w:ind w:left="360"/>
      </w:pPr>
    </w:p>
    <w:p w14:paraId="37C3552E" w14:textId="77777777" w:rsidR="006052D9" w:rsidRDefault="006052D9" w:rsidP="003B5893">
      <w:pPr>
        <w:pStyle w:val="ListParagraph"/>
        <w:numPr>
          <w:ilvl w:val="0"/>
          <w:numId w:val="5"/>
        </w:numPr>
      </w:pPr>
      <w:r>
        <w:t>Because of the pandemic we have seen increased provision of long-term care services to both citizens coming out of hospital and from community referrals.</w:t>
      </w:r>
    </w:p>
    <w:p w14:paraId="44A443CE" w14:textId="77777777" w:rsidR="006052D9" w:rsidRDefault="006052D9" w:rsidP="006052D9">
      <w:pPr>
        <w:pStyle w:val="ListParagraph"/>
        <w:ind w:left="360"/>
      </w:pPr>
    </w:p>
    <w:p w14:paraId="4183965B" w14:textId="54C61B13" w:rsidR="00307B54" w:rsidRDefault="006052D9" w:rsidP="003B5893">
      <w:pPr>
        <w:pStyle w:val="ListParagraph"/>
        <w:numPr>
          <w:ilvl w:val="0"/>
          <w:numId w:val="5"/>
        </w:numPr>
      </w:pPr>
      <w:r>
        <w:t xml:space="preserve">While it is hoped this is temporary, the current levels of demand for extra care are likely elevated as more </w:t>
      </w:r>
      <w:r w:rsidR="00AE1FD2">
        <w:t>citizens</w:t>
      </w:r>
      <w:r>
        <w:t xml:space="preserve"> leave hospital with increased frailty, long term health complications and other circumstances necessitating increased support.  For example, Covid-19 is adding pressure on family carers, citizens are experiencing social isolation while most day services remain closed or curtailed and the social care teams are working remotely and unable in many cases to see citizens face to face, making assessment of citizens’ needs more difficult</w:t>
      </w:r>
      <w:r w:rsidR="003B5893">
        <w:t>.</w:t>
      </w:r>
    </w:p>
    <w:p w14:paraId="706CA0C3" w14:textId="1260420B" w:rsidR="003B5893" w:rsidRDefault="003B5893" w:rsidP="006052D9">
      <w:pPr>
        <w:pStyle w:val="ListParagraph"/>
        <w:ind w:left="360"/>
      </w:pPr>
    </w:p>
    <w:p w14:paraId="11D25460" w14:textId="306DB699" w:rsidR="003B5893" w:rsidRDefault="003B5893" w:rsidP="003B5893">
      <w:pPr>
        <w:pStyle w:val="ListParagraph"/>
        <w:numPr>
          <w:ilvl w:val="0"/>
          <w:numId w:val="5"/>
        </w:numPr>
      </w:pPr>
      <w:r>
        <w:t>It is not possible to quantify this increased demand because the impacts are likely temporary following the first spike during April and May and ongoing effects thereafter, notwithstanding any major “second wave” of infections.  There are also too many unpredictable factors such as an extreme reluctance during the height of the pandemic of relatives to allow citizens to be placed in any sort of “care home”, the effect of closure of neighbourhood groups and facilities, the availability of improved treatments or vaccines, etc.</w:t>
      </w:r>
    </w:p>
    <w:p w14:paraId="7C02EABD" w14:textId="16F448BA" w:rsidR="003B5893" w:rsidRDefault="003B5893" w:rsidP="006052D9">
      <w:pPr>
        <w:pStyle w:val="ListParagraph"/>
        <w:ind w:left="360"/>
      </w:pPr>
    </w:p>
    <w:p w14:paraId="3496C8FC" w14:textId="7457A01B" w:rsidR="003B5893" w:rsidRDefault="003B5893" w:rsidP="003B5893">
      <w:pPr>
        <w:pStyle w:val="ListParagraph"/>
        <w:numPr>
          <w:ilvl w:val="0"/>
          <w:numId w:val="5"/>
        </w:numPr>
      </w:pPr>
      <w:r>
        <w:t xml:space="preserve">These and other factors all contribute to changes in the presenting needs of </w:t>
      </w:r>
      <w:r w:rsidR="004632C3">
        <w:t>citizens</w:t>
      </w:r>
      <w:r>
        <w:t xml:space="preserve"> we see, but this temporary increase in demand for extra care in likely to persist until medical solutions for the pandemic are available.</w:t>
      </w:r>
    </w:p>
    <w:p w14:paraId="29B3D20B" w14:textId="77777777" w:rsidR="009C7BBF" w:rsidRPr="00B20F71" w:rsidRDefault="009C7BBF" w:rsidP="009F53FE"/>
    <w:p w14:paraId="3BBD8A5D" w14:textId="42755111" w:rsidR="009F53FE" w:rsidRPr="00B20F71" w:rsidRDefault="00307B54" w:rsidP="009F53FE">
      <w:pPr>
        <w:rPr>
          <w:rFonts w:cs="Arial"/>
          <w:b/>
          <w:bCs/>
          <w:sz w:val="28"/>
          <w:szCs w:val="28"/>
        </w:rPr>
      </w:pPr>
      <w:r w:rsidRPr="00B20F71">
        <w:rPr>
          <w:rFonts w:cs="Arial"/>
          <w:b/>
          <w:bCs/>
          <w:sz w:val="28"/>
          <w:szCs w:val="28"/>
        </w:rPr>
        <w:t xml:space="preserve">Extra Care </w:t>
      </w:r>
      <w:r w:rsidR="007104B6" w:rsidRPr="00B20F71">
        <w:rPr>
          <w:rFonts w:cs="Arial"/>
          <w:b/>
          <w:bCs/>
          <w:sz w:val="28"/>
          <w:szCs w:val="28"/>
        </w:rPr>
        <w:t xml:space="preserve">Current Provision and </w:t>
      </w:r>
      <w:r w:rsidRPr="00B20F71">
        <w:rPr>
          <w:rFonts w:cs="Arial"/>
          <w:b/>
          <w:bCs/>
          <w:sz w:val="28"/>
          <w:szCs w:val="28"/>
        </w:rPr>
        <w:t>Pipeline</w:t>
      </w:r>
    </w:p>
    <w:p w14:paraId="1A1B688E" w14:textId="77777777" w:rsidR="003333AD" w:rsidRPr="00B20F71" w:rsidRDefault="003333AD" w:rsidP="009F53FE">
      <w:pPr>
        <w:rPr>
          <w:rFonts w:cs="Arial"/>
          <w:szCs w:val="24"/>
        </w:rPr>
      </w:pPr>
    </w:p>
    <w:p w14:paraId="7171DA2A" w14:textId="3C49A46A" w:rsidR="00803069" w:rsidRPr="009C7BBF" w:rsidRDefault="00CC780F" w:rsidP="009C7BBF">
      <w:pPr>
        <w:pStyle w:val="ListParagraph"/>
        <w:numPr>
          <w:ilvl w:val="0"/>
          <w:numId w:val="5"/>
        </w:numPr>
        <w:rPr>
          <w:rFonts w:cs="Arial"/>
          <w:szCs w:val="24"/>
        </w:rPr>
      </w:pPr>
      <w:r w:rsidRPr="009C7BBF">
        <w:rPr>
          <w:rFonts w:cs="Arial"/>
          <w:szCs w:val="24"/>
        </w:rPr>
        <w:t xml:space="preserve">The </w:t>
      </w:r>
      <w:r w:rsidR="003333AD" w:rsidRPr="009C7BBF">
        <w:rPr>
          <w:rFonts w:cs="Arial"/>
          <w:szCs w:val="24"/>
        </w:rPr>
        <w:t xml:space="preserve">implementation of the </w:t>
      </w:r>
      <w:r w:rsidRPr="009C7BBF">
        <w:rPr>
          <w:rFonts w:cs="Arial"/>
          <w:szCs w:val="24"/>
        </w:rPr>
        <w:t xml:space="preserve">Extra Care </w:t>
      </w:r>
      <w:r w:rsidR="003333AD" w:rsidRPr="009C7BBF">
        <w:rPr>
          <w:rFonts w:cs="Arial"/>
          <w:szCs w:val="24"/>
        </w:rPr>
        <w:t xml:space="preserve">Strategy </w:t>
      </w:r>
      <w:r w:rsidRPr="009C7BBF">
        <w:rPr>
          <w:rFonts w:cs="Arial"/>
          <w:szCs w:val="24"/>
        </w:rPr>
        <w:t xml:space="preserve">is a </w:t>
      </w:r>
      <w:r w:rsidR="006D52E3" w:rsidRPr="009C7BBF">
        <w:rPr>
          <w:rFonts w:cs="Arial"/>
          <w:szCs w:val="24"/>
        </w:rPr>
        <w:t>long-term</w:t>
      </w:r>
      <w:r w:rsidRPr="009C7BBF">
        <w:rPr>
          <w:rFonts w:cs="Arial"/>
          <w:szCs w:val="24"/>
        </w:rPr>
        <w:t xml:space="preserve"> </w:t>
      </w:r>
      <w:r w:rsidR="003333AD" w:rsidRPr="009C7BBF">
        <w:rPr>
          <w:rFonts w:cs="Arial"/>
          <w:szCs w:val="24"/>
        </w:rPr>
        <w:t>plan</w:t>
      </w:r>
      <w:r w:rsidRPr="009C7BBF">
        <w:rPr>
          <w:rFonts w:cs="Arial"/>
          <w:szCs w:val="24"/>
        </w:rPr>
        <w:t xml:space="preserve"> combining both capital and revenue investment that will impact on the landscape of provision in Harrow.  </w:t>
      </w:r>
      <w:r w:rsidR="00DD45D1" w:rsidRPr="009C7BBF">
        <w:rPr>
          <w:rFonts w:cs="Arial"/>
          <w:szCs w:val="24"/>
        </w:rPr>
        <w:t xml:space="preserve">It is important that there is flexibility in the delivery and where opportunities </w:t>
      </w:r>
      <w:r w:rsidR="00356C57" w:rsidRPr="009C7BBF">
        <w:rPr>
          <w:rFonts w:cs="Arial"/>
          <w:szCs w:val="24"/>
        </w:rPr>
        <w:t>arise,</w:t>
      </w:r>
      <w:r w:rsidR="00DD45D1" w:rsidRPr="009C7BBF">
        <w:rPr>
          <w:rFonts w:cs="Arial"/>
          <w:szCs w:val="24"/>
        </w:rPr>
        <w:t xml:space="preserve"> they can be incorporated </w:t>
      </w:r>
      <w:r w:rsidR="00803069" w:rsidRPr="009C7BBF">
        <w:rPr>
          <w:rFonts w:cs="Arial"/>
          <w:szCs w:val="24"/>
        </w:rPr>
        <w:t xml:space="preserve">accordingly. </w:t>
      </w:r>
    </w:p>
    <w:p w14:paraId="37CB68EE" w14:textId="77777777" w:rsidR="00803069" w:rsidRPr="009C7BBF" w:rsidRDefault="00803069" w:rsidP="009F53FE">
      <w:pPr>
        <w:rPr>
          <w:rFonts w:cs="Arial"/>
          <w:szCs w:val="24"/>
        </w:rPr>
      </w:pPr>
    </w:p>
    <w:p w14:paraId="11854D0D" w14:textId="790D1ECF" w:rsidR="009F53FE" w:rsidRPr="009C7BBF" w:rsidRDefault="009F53FE" w:rsidP="009C7BBF">
      <w:pPr>
        <w:pStyle w:val="ListParagraph"/>
        <w:numPr>
          <w:ilvl w:val="0"/>
          <w:numId w:val="5"/>
        </w:numPr>
        <w:rPr>
          <w:rFonts w:cs="Arial"/>
          <w:szCs w:val="24"/>
        </w:rPr>
      </w:pPr>
      <w:r w:rsidRPr="009C7BBF">
        <w:rPr>
          <w:rFonts w:cs="Arial"/>
          <w:szCs w:val="24"/>
        </w:rPr>
        <w:t xml:space="preserve">A phased approach </w:t>
      </w:r>
      <w:r w:rsidR="00307B54" w:rsidRPr="009C7BBF">
        <w:rPr>
          <w:rFonts w:cs="Arial"/>
          <w:szCs w:val="24"/>
        </w:rPr>
        <w:t xml:space="preserve">was </w:t>
      </w:r>
      <w:r w:rsidR="0082776C" w:rsidRPr="009C7BBF">
        <w:rPr>
          <w:rFonts w:cs="Arial"/>
          <w:szCs w:val="24"/>
        </w:rPr>
        <w:t>adopted</w:t>
      </w:r>
      <w:r w:rsidR="00307B54" w:rsidRPr="009C7BBF">
        <w:rPr>
          <w:rFonts w:cs="Arial"/>
          <w:szCs w:val="24"/>
        </w:rPr>
        <w:t xml:space="preserve"> </w:t>
      </w:r>
      <w:r w:rsidR="0082776C" w:rsidRPr="009C7BBF">
        <w:rPr>
          <w:rFonts w:cs="Arial"/>
          <w:szCs w:val="24"/>
        </w:rPr>
        <w:t>within the Strategy</w:t>
      </w:r>
      <w:r w:rsidRPr="009C7BBF">
        <w:rPr>
          <w:rFonts w:cs="Arial"/>
          <w:szCs w:val="24"/>
        </w:rPr>
        <w:t xml:space="preserve"> for </w:t>
      </w:r>
      <w:r w:rsidR="0082776C" w:rsidRPr="009C7BBF">
        <w:rPr>
          <w:rFonts w:cs="Arial"/>
          <w:szCs w:val="24"/>
        </w:rPr>
        <w:t xml:space="preserve">a range of </w:t>
      </w:r>
      <w:r w:rsidRPr="009C7BBF">
        <w:rPr>
          <w:rFonts w:cs="Arial"/>
          <w:szCs w:val="24"/>
        </w:rPr>
        <w:t>reasons</w:t>
      </w:r>
      <w:r w:rsidR="00CC780F" w:rsidRPr="009C7BBF">
        <w:rPr>
          <w:rFonts w:cs="Arial"/>
          <w:szCs w:val="24"/>
        </w:rPr>
        <w:t>:</w:t>
      </w:r>
      <w:r w:rsidR="0082776C" w:rsidRPr="009C7BBF">
        <w:rPr>
          <w:rFonts w:cs="Arial"/>
          <w:szCs w:val="24"/>
        </w:rPr>
        <w:t xml:space="preserve"> to ensure that the provision meets evolving and changing needs, achieves expected outcomes for citizens and </w:t>
      </w:r>
      <w:r w:rsidRPr="009C7BBF">
        <w:rPr>
          <w:rFonts w:cs="Arial"/>
          <w:szCs w:val="24"/>
        </w:rPr>
        <w:t xml:space="preserve">to avoid an oversupply of units leading to a higher level of voids following completion. </w:t>
      </w:r>
      <w:r w:rsidR="00CC780F" w:rsidRPr="009C7BBF">
        <w:rPr>
          <w:rFonts w:cs="Arial"/>
          <w:szCs w:val="24"/>
        </w:rPr>
        <w:t>It also allows for n</w:t>
      </w:r>
      <w:r w:rsidR="00356C57" w:rsidRPr="009C7BBF">
        <w:rPr>
          <w:rFonts w:cs="Arial"/>
          <w:szCs w:val="24"/>
        </w:rPr>
        <w:t>e</w:t>
      </w:r>
      <w:r w:rsidR="00CC780F" w:rsidRPr="009C7BBF">
        <w:rPr>
          <w:rFonts w:cs="Arial"/>
          <w:szCs w:val="24"/>
        </w:rPr>
        <w:t>w opportunities to be explored</w:t>
      </w:r>
      <w:r w:rsidR="00C15624">
        <w:rPr>
          <w:rFonts w:cs="Arial"/>
          <w:szCs w:val="24"/>
        </w:rPr>
        <w:t>.</w:t>
      </w:r>
    </w:p>
    <w:p w14:paraId="4255523F" w14:textId="39C79EE3" w:rsidR="00356C57" w:rsidRPr="009C7BBF" w:rsidRDefault="00356C57" w:rsidP="009F53FE">
      <w:pPr>
        <w:rPr>
          <w:rFonts w:cs="Arial"/>
          <w:szCs w:val="24"/>
        </w:rPr>
      </w:pPr>
    </w:p>
    <w:p w14:paraId="3E05713D" w14:textId="77777777" w:rsidR="007104B6" w:rsidRPr="009C7BBF" w:rsidRDefault="007104B6" w:rsidP="009C7BBF">
      <w:pPr>
        <w:pStyle w:val="ListParagraph"/>
        <w:numPr>
          <w:ilvl w:val="0"/>
          <w:numId w:val="5"/>
        </w:numPr>
        <w:rPr>
          <w:rFonts w:cs="Arial"/>
          <w:szCs w:val="24"/>
        </w:rPr>
      </w:pPr>
      <w:r w:rsidRPr="009C7BBF">
        <w:rPr>
          <w:rFonts w:cs="Arial"/>
          <w:szCs w:val="24"/>
        </w:rPr>
        <w:t xml:space="preserve">There is currently one extra care provision in Harrow; Ewart House with 47 units and Windridge Court is planned to open in the summer 2021. </w:t>
      </w:r>
    </w:p>
    <w:p w14:paraId="71D60321" w14:textId="77777777" w:rsidR="00B0729B" w:rsidRPr="009C7BBF" w:rsidRDefault="00B0729B" w:rsidP="009F53FE">
      <w:pPr>
        <w:rPr>
          <w:rFonts w:cs="Arial"/>
          <w:szCs w:val="24"/>
        </w:rPr>
      </w:pPr>
    </w:p>
    <w:p w14:paraId="66A58E2A" w14:textId="00DAA908" w:rsidR="006D52E3" w:rsidRPr="004632C3" w:rsidRDefault="0082776C" w:rsidP="00D64251">
      <w:pPr>
        <w:pStyle w:val="ListParagraph"/>
        <w:numPr>
          <w:ilvl w:val="0"/>
          <w:numId w:val="5"/>
        </w:numPr>
        <w:rPr>
          <w:rFonts w:cs="Arial"/>
          <w:szCs w:val="24"/>
        </w:rPr>
      </w:pPr>
      <w:r w:rsidRPr="004632C3">
        <w:rPr>
          <w:rFonts w:cs="Arial"/>
          <w:szCs w:val="24"/>
        </w:rPr>
        <w:t xml:space="preserve">Since November 2018, the pipeline for extra care units has been </w:t>
      </w:r>
      <w:r w:rsidR="006D52E3" w:rsidRPr="004632C3">
        <w:rPr>
          <w:rFonts w:cs="Arial"/>
          <w:szCs w:val="24"/>
        </w:rPr>
        <w:t>updated</w:t>
      </w:r>
      <w:r w:rsidRPr="004632C3">
        <w:rPr>
          <w:rFonts w:cs="Arial"/>
          <w:szCs w:val="24"/>
        </w:rPr>
        <w:t xml:space="preserve"> to reflect the current provision</w:t>
      </w:r>
      <w:r w:rsidR="007104B6" w:rsidRPr="004632C3">
        <w:rPr>
          <w:rFonts w:cs="Arial"/>
          <w:szCs w:val="24"/>
        </w:rPr>
        <w:t xml:space="preserve"> and opportunities. The table below summarises the </w:t>
      </w:r>
      <w:r w:rsidR="00FE2802" w:rsidRPr="004632C3">
        <w:rPr>
          <w:rFonts w:cs="Arial"/>
          <w:szCs w:val="24"/>
        </w:rPr>
        <w:t xml:space="preserve">current and indicative pipeline </w:t>
      </w:r>
      <w:r w:rsidR="007104B6" w:rsidRPr="004632C3">
        <w:rPr>
          <w:rFonts w:cs="Arial"/>
          <w:szCs w:val="24"/>
        </w:rPr>
        <w:t>provision</w:t>
      </w:r>
      <w:r w:rsidR="007D6CEC" w:rsidRPr="004632C3">
        <w:rPr>
          <w:rFonts w:cs="Arial"/>
          <w:szCs w:val="24"/>
        </w:rPr>
        <w:t>:</w:t>
      </w:r>
    </w:p>
    <w:p w14:paraId="58A2550C" w14:textId="4E781AFF" w:rsidR="006D52E3" w:rsidRDefault="006D52E3">
      <w:pPr>
        <w:rPr>
          <w:rFonts w:cs="Arial"/>
          <w:szCs w:val="24"/>
        </w:rPr>
      </w:pPr>
      <w:r>
        <w:rPr>
          <w:rFonts w:cs="Arial"/>
          <w:szCs w:val="24"/>
        </w:rPr>
        <w:br w:type="page"/>
      </w:r>
    </w:p>
    <w:p w14:paraId="70B0822C" w14:textId="77777777" w:rsidR="006D52E3" w:rsidRPr="009C7BBF" w:rsidRDefault="006D52E3" w:rsidP="006D52E3">
      <w:pPr>
        <w:pStyle w:val="ListParagraph"/>
        <w:ind w:left="360"/>
        <w:rPr>
          <w:rFonts w:cs="Arial"/>
          <w:szCs w:val="24"/>
        </w:rPr>
      </w:pPr>
    </w:p>
    <w:p w14:paraId="3720C16E" w14:textId="77777777" w:rsidR="0082776C" w:rsidRPr="009C7BBF" w:rsidRDefault="0082776C" w:rsidP="009F53FE">
      <w:pPr>
        <w:rPr>
          <w:rFonts w:cs="Arial"/>
          <w:color w:val="0000FF"/>
          <w:szCs w:val="24"/>
        </w:rPr>
      </w:pPr>
    </w:p>
    <w:tbl>
      <w:tblPr>
        <w:tblStyle w:val="TableGrid"/>
        <w:tblW w:w="7683" w:type="dxa"/>
        <w:tblInd w:w="534" w:type="dxa"/>
        <w:tblLook w:val="04A0" w:firstRow="1" w:lastRow="0" w:firstColumn="1" w:lastColumn="0" w:noHBand="0" w:noVBand="1"/>
      </w:tblPr>
      <w:tblGrid>
        <w:gridCol w:w="2296"/>
        <w:gridCol w:w="2527"/>
        <w:gridCol w:w="1017"/>
        <w:gridCol w:w="1843"/>
      </w:tblGrid>
      <w:tr w:rsidR="00B24FB0" w:rsidRPr="009C7BBF" w14:paraId="4DF9DD12" w14:textId="77777777" w:rsidTr="006D52E3">
        <w:tc>
          <w:tcPr>
            <w:tcW w:w="2296" w:type="dxa"/>
          </w:tcPr>
          <w:p w14:paraId="053A47B3" w14:textId="3A2C6DB7" w:rsidR="00B24FB0" w:rsidRPr="009C7BBF" w:rsidRDefault="00B24FB0" w:rsidP="00D155B0">
            <w:pPr>
              <w:rPr>
                <w:rFonts w:cs="Arial"/>
                <w:b/>
                <w:bCs/>
                <w:szCs w:val="24"/>
              </w:rPr>
            </w:pPr>
            <w:r w:rsidRPr="009C7BBF">
              <w:rPr>
                <w:rFonts w:cs="Arial"/>
                <w:b/>
                <w:bCs/>
                <w:szCs w:val="24"/>
              </w:rPr>
              <w:t>Current Schemes</w:t>
            </w:r>
          </w:p>
        </w:tc>
        <w:tc>
          <w:tcPr>
            <w:tcW w:w="2527" w:type="dxa"/>
          </w:tcPr>
          <w:p w14:paraId="27DD5BD8" w14:textId="2FD6860F" w:rsidR="00B24FB0" w:rsidRPr="009C7BBF" w:rsidRDefault="004277AA" w:rsidP="00D155B0">
            <w:pPr>
              <w:rPr>
                <w:rFonts w:cs="Arial"/>
                <w:b/>
                <w:bCs/>
                <w:szCs w:val="24"/>
              </w:rPr>
            </w:pPr>
            <w:r>
              <w:rPr>
                <w:rFonts w:cs="Arial"/>
                <w:b/>
                <w:bCs/>
                <w:szCs w:val="24"/>
              </w:rPr>
              <w:t xml:space="preserve">Housing </w:t>
            </w:r>
            <w:r w:rsidR="00B24FB0" w:rsidRPr="009C7BBF">
              <w:rPr>
                <w:rFonts w:cs="Arial"/>
                <w:b/>
                <w:bCs/>
                <w:szCs w:val="24"/>
              </w:rPr>
              <w:t xml:space="preserve">Provider </w:t>
            </w:r>
          </w:p>
        </w:tc>
        <w:tc>
          <w:tcPr>
            <w:tcW w:w="1017" w:type="dxa"/>
          </w:tcPr>
          <w:p w14:paraId="52EC50F3" w14:textId="458D495B" w:rsidR="00B24FB0" w:rsidRPr="009C7BBF" w:rsidRDefault="00B24FB0" w:rsidP="00D155B0">
            <w:pPr>
              <w:rPr>
                <w:rFonts w:cs="Arial"/>
                <w:b/>
                <w:bCs/>
                <w:szCs w:val="24"/>
              </w:rPr>
            </w:pPr>
            <w:r w:rsidRPr="009C7BBF">
              <w:rPr>
                <w:rFonts w:cs="Arial"/>
                <w:b/>
                <w:bCs/>
                <w:szCs w:val="24"/>
              </w:rPr>
              <w:t>No of Homes</w:t>
            </w:r>
          </w:p>
        </w:tc>
        <w:tc>
          <w:tcPr>
            <w:tcW w:w="1843" w:type="dxa"/>
          </w:tcPr>
          <w:p w14:paraId="721941AF" w14:textId="653F3CB8" w:rsidR="00B24FB0" w:rsidRPr="009C7BBF" w:rsidRDefault="00B24FB0" w:rsidP="00D155B0">
            <w:pPr>
              <w:rPr>
                <w:rFonts w:cs="Arial"/>
                <w:b/>
                <w:bCs/>
                <w:szCs w:val="24"/>
              </w:rPr>
            </w:pPr>
            <w:r w:rsidRPr="009C7BBF">
              <w:rPr>
                <w:rFonts w:cs="Arial"/>
                <w:b/>
                <w:bCs/>
                <w:szCs w:val="24"/>
              </w:rPr>
              <w:t>Timescales</w:t>
            </w:r>
          </w:p>
        </w:tc>
      </w:tr>
      <w:tr w:rsidR="00B24FB0" w:rsidRPr="009C7BBF" w14:paraId="6E64A374" w14:textId="77777777" w:rsidTr="006D52E3">
        <w:tc>
          <w:tcPr>
            <w:tcW w:w="2296" w:type="dxa"/>
          </w:tcPr>
          <w:p w14:paraId="6B185C00" w14:textId="20B36F7B" w:rsidR="00B24FB0" w:rsidRPr="009C7BBF" w:rsidRDefault="00B24FB0" w:rsidP="00D155B0">
            <w:pPr>
              <w:rPr>
                <w:rFonts w:cs="Arial"/>
                <w:szCs w:val="24"/>
              </w:rPr>
            </w:pPr>
            <w:r w:rsidRPr="009C7BBF">
              <w:rPr>
                <w:rFonts w:cs="Arial"/>
                <w:szCs w:val="24"/>
              </w:rPr>
              <w:t>Ewart House</w:t>
            </w:r>
          </w:p>
        </w:tc>
        <w:tc>
          <w:tcPr>
            <w:tcW w:w="2527" w:type="dxa"/>
          </w:tcPr>
          <w:p w14:paraId="208E53B4" w14:textId="2AE49FAA" w:rsidR="00B24FB0" w:rsidRPr="009C7BBF" w:rsidRDefault="00B24FB0" w:rsidP="00D155B0">
            <w:pPr>
              <w:rPr>
                <w:rFonts w:cs="Arial"/>
                <w:szCs w:val="24"/>
              </w:rPr>
            </w:pPr>
            <w:r w:rsidRPr="009C7BBF">
              <w:rPr>
                <w:rFonts w:cs="Arial"/>
                <w:szCs w:val="24"/>
              </w:rPr>
              <w:t xml:space="preserve">Harrow Churches </w:t>
            </w:r>
            <w:r w:rsidR="006D52E3">
              <w:rPr>
                <w:rFonts w:cs="Arial"/>
                <w:szCs w:val="24"/>
              </w:rPr>
              <w:t>Housing Association</w:t>
            </w:r>
          </w:p>
        </w:tc>
        <w:tc>
          <w:tcPr>
            <w:tcW w:w="1017" w:type="dxa"/>
          </w:tcPr>
          <w:p w14:paraId="027195D5" w14:textId="4C7F4131" w:rsidR="00B24FB0" w:rsidRPr="009C7BBF" w:rsidRDefault="00B24FB0" w:rsidP="00D155B0">
            <w:pPr>
              <w:rPr>
                <w:rFonts w:cs="Arial"/>
                <w:szCs w:val="24"/>
              </w:rPr>
            </w:pPr>
            <w:r w:rsidRPr="009C7BBF">
              <w:rPr>
                <w:rFonts w:cs="Arial"/>
                <w:szCs w:val="24"/>
              </w:rPr>
              <w:t>47</w:t>
            </w:r>
          </w:p>
        </w:tc>
        <w:tc>
          <w:tcPr>
            <w:tcW w:w="1843" w:type="dxa"/>
          </w:tcPr>
          <w:p w14:paraId="0F2DE2DB" w14:textId="04A0F6B1" w:rsidR="00B24FB0" w:rsidRPr="009C7BBF" w:rsidRDefault="00B24FB0" w:rsidP="00D155B0">
            <w:pPr>
              <w:rPr>
                <w:rFonts w:cs="Arial"/>
                <w:szCs w:val="24"/>
              </w:rPr>
            </w:pPr>
            <w:r w:rsidRPr="009C7BBF">
              <w:rPr>
                <w:rFonts w:cs="Arial"/>
                <w:szCs w:val="24"/>
              </w:rPr>
              <w:t>Operational</w:t>
            </w:r>
          </w:p>
        </w:tc>
      </w:tr>
      <w:tr w:rsidR="00B24FB0" w:rsidRPr="009C7BBF" w14:paraId="6329B35C" w14:textId="77777777" w:rsidTr="006D52E3">
        <w:tc>
          <w:tcPr>
            <w:tcW w:w="2296" w:type="dxa"/>
          </w:tcPr>
          <w:p w14:paraId="05A2D72E" w14:textId="0F57A4D8" w:rsidR="00B24FB0" w:rsidRPr="009C7BBF" w:rsidRDefault="00B24FB0" w:rsidP="00D155B0">
            <w:pPr>
              <w:rPr>
                <w:rFonts w:cs="Arial"/>
                <w:szCs w:val="24"/>
              </w:rPr>
            </w:pPr>
            <w:r w:rsidRPr="009C7BBF">
              <w:rPr>
                <w:rFonts w:cs="Arial"/>
                <w:szCs w:val="24"/>
              </w:rPr>
              <w:t>Windridge Court</w:t>
            </w:r>
          </w:p>
        </w:tc>
        <w:tc>
          <w:tcPr>
            <w:tcW w:w="2527" w:type="dxa"/>
          </w:tcPr>
          <w:p w14:paraId="5325B8CE" w14:textId="62604E8E" w:rsidR="00B24FB0" w:rsidRPr="009C7BBF" w:rsidRDefault="00B24FB0" w:rsidP="00D155B0">
            <w:pPr>
              <w:rPr>
                <w:rFonts w:cs="Arial"/>
                <w:szCs w:val="24"/>
              </w:rPr>
            </w:pPr>
            <w:r w:rsidRPr="009C7BBF">
              <w:rPr>
                <w:rFonts w:cs="Arial"/>
                <w:szCs w:val="24"/>
              </w:rPr>
              <w:t>Harrow Churches</w:t>
            </w:r>
            <w:r w:rsidR="006D52E3">
              <w:rPr>
                <w:rFonts w:cs="Arial"/>
                <w:szCs w:val="24"/>
              </w:rPr>
              <w:t xml:space="preserve"> Housing Association</w:t>
            </w:r>
          </w:p>
        </w:tc>
        <w:tc>
          <w:tcPr>
            <w:tcW w:w="1017" w:type="dxa"/>
          </w:tcPr>
          <w:p w14:paraId="659AFE29" w14:textId="4AEE8B6F" w:rsidR="00B24FB0" w:rsidRPr="009C7BBF" w:rsidRDefault="00B24FB0" w:rsidP="00D155B0">
            <w:pPr>
              <w:rPr>
                <w:rFonts w:cs="Arial"/>
                <w:szCs w:val="24"/>
              </w:rPr>
            </w:pPr>
            <w:r w:rsidRPr="009C7BBF">
              <w:rPr>
                <w:rFonts w:cs="Arial"/>
                <w:szCs w:val="24"/>
              </w:rPr>
              <w:t>56</w:t>
            </w:r>
          </w:p>
        </w:tc>
        <w:tc>
          <w:tcPr>
            <w:tcW w:w="1843" w:type="dxa"/>
          </w:tcPr>
          <w:p w14:paraId="692FA068" w14:textId="192C0AF7" w:rsidR="00B24FB0" w:rsidRPr="009C7BBF" w:rsidRDefault="00B24FB0" w:rsidP="00D155B0">
            <w:pPr>
              <w:rPr>
                <w:rFonts w:cs="Arial"/>
                <w:szCs w:val="24"/>
              </w:rPr>
            </w:pPr>
            <w:r w:rsidRPr="009C7BBF">
              <w:rPr>
                <w:rFonts w:cs="Arial"/>
                <w:szCs w:val="24"/>
              </w:rPr>
              <w:t>Summer 2021</w:t>
            </w:r>
          </w:p>
        </w:tc>
      </w:tr>
      <w:tr w:rsidR="00165DF9" w:rsidRPr="009C7BBF" w14:paraId="4F892BDB" w14:textId="77777777" w:rsidTr="006D52E3">
        <w:tc>
          <w:tcPr>
            <w:tcW w:w="2296" w:type="dxa"/>
          </w:tcPr>
          <w:p w14:paraId="25A48B80" w14:textId="48171FD1" w:rsidR="00165DF9" w:rsidRPr="009C7BBF" w:rsidRDefault="00165DF9" w:rsidP="00165DF9">
            <w:pPr>
              <w:rPr>
                <w:rFonts w:cs="Arial"/>
                <w:b/>
                <w:bCs/>
                <w:szCs w:val="24"/>
              </w:rPr>
            </w:pPr>
            <w:r w:rsidRPr="009C7BBF">
              <w:rPr>
                <w:rFonts w:cs="Arial"/>
                <w:b/>
                <w:bCs/>
                <w:szCs w:val="24"/>
              </w:rPr>
              <w:t>Pipeline Schemes</w:t>
            </w:r>
          </w:p>
        </w:tc>
        <w:tc>
          <w:tcPr>
            <w:tcW w:w="2527" w:type="dxa"/>
          </w:tcPr>
          <w:p w14:paraId="34886B77" w14:textId="3EBDA1E5" w:rsidR="00165DF9" w:rsidRPr="009C7BBF" w:rsidRDefault="004277AA" w:rsidP="00165DF9">
            <w:pPr>
              <w:rPr>
                <w:rFonts w:cs="Arial"/>
                <w:b/>
                <w:bCs/>
                <w:szCs w:val="24"/>
              </w:rPr>
            </w:pPr>
            <w:r>
              <w:rPr>
                <w:rFonts w:cs="Arial"/>
                <w:b/>
                <w:bCs/>
                <w:szCs w:val="24"/>
              </w:rPr>
              <w:t xml:space="preserve">Housing </w:t>
            </w:r>
            <w:r w:rsidR="00165DF9" w:rsidRPr="009C7BBF">
              <w:rPr>
                <w:rFonts w:cs="Arial"/>
                <w:b/>
                <w:bCs/>
                <w:szCs w:val="24"/>
              </w:rPr>
              <w:t xml:space="preserve">Provider </w:t>
            </w:r>
          </w:p>
        </w:tc>
        <w:tc>
          <w:tcPr>
            <w:tcW w:w="1017" w:type="dxa"/>
          </w:tcPr>
          <w:p w14:paraId="414FC6DF" w14:textId="19DF2DB8" w:rsidR="00165DF9" w:rsidRPr="009C7BBF" w:rsidRDefault="00165DF9" w:rsidP="00165DF9">
            <w:pPr>
              <w:rPr>
                <w:rFonts w:cs="Arial"/>
                <w:b/>
                <w:bCs/>
                <w:szCs w:val="24"/>
              </w:rPr>
            </w:pPr>
            <w:r w:rsidRPr="009C7BBF">
              <w:rPr>
                <w:rFonts w:cs="Arial"/>
                <w:b/>
                <w:bCs/>
                <w:szCs w:val="24"/>
              </w:rPr>
              <w:t>No of Homes</w:t>
            </w:r>
          </w:p>
        </w:tc>
        <w:tc>
          <w:tcPr>
            <w:tcW w:w="1843" w:type="dxa"/>
          </w:tcPr>
          <w:p w14:paraId="708F9662" w14:textId="21E9AADC" w:rsidR="00165DF9" w:rsidRPr="009C7BBF" w:rsidRDefault="00165DF9" w:rsidP="00165DF9">
            <w:pPr>
              <w:rPr>
                <w:rFonts w:cs="Arial"/>
                <w:b/>
                <w:bCs/>
                <w:szCs w:val="24"/>
              </w:rPr>
            </w:pPr>
            <w:r w:rsidRPr="009C7BBF">
              <w:rPr>
                <w:rFonts w:cs="Arial"/>
                <w:b/>
                <w:bCs/>
                <w:szCs w:val="24"/>
              </w:rPr>
              <w:t>Timescales</w:t>
            </w:r>
          </w:p>
        </w:tc>
      </w:tr>
      <w:tr w:rsidR="00B24FB0" w:rsidRPr="009C7BBF" w14:paraId="1E1E41A5" w14:textId="77777777" w:rsidTr="006D52E3">
        <w:tc>
          <w:tcPr>
            <w:tcW w:w="2296" w:type="dxa"/>
          </w:tcPr>
          <w:p w14:paraId="50603C21" w14:textId="56DAF8BC" w:rsidR="00B24FB0" w:rsidRPr="009C7BBF" w:rsidRDefault="00B24FB0" w:rsidP="00D155B0">
            <w:pPr>
              <w:rPr>
                <w:rFonts w:cs="Arial"/>
                <w:szCs w:val="24"/>
              </w:rPr>
            </w:pPr>
            <w:r w:rsidRPr="009C7BBF">
              <w:rPr>
                <w:rFonts w:cs="Arial"/>
                <w:szCs w:val="24"/>
              </w:rPr>
              <w:t>Wolstenholme</w:t>
            </w:r>
          </w:p>
        </w:tc>
        <w:tc>
          <w:tcPr>
            <w:tcW w:w="2527" w:type="dxa"/>
          </w:tcPr>
          <w:p w14:paraId="16EFA086" w14:textId="0D0A954F" w:rsidR="00B24FB0" w:rsidRPr="009C7BBF" w:rsidRDefault="00B24FB0" w:rsidP="00D155B0">
            <w:pPr>
              <w:rPr>
                <w:rFonts w:cs="Arial"/>
                <w:szCs w:val="24"/>
              </w:rPr>
            </w:pPr>
            <w:r w:rsidRPr="009C7BBF">
              <w:rPr>
                <w:rFonts w:cs="Arial"/>
                <w:szCs w:val="24"/>
              </w:rPr>
              <w:t>Harrow Churches</w:t>
            </w:r>
            <w:r w:rsidR="006D52E3">
              <w:rPr>
                <w:rFonts w:cs="Arial"/>
                <w:szCs w:val="24"/>
              </w:rPr>
              <w:t xml:space="preserve"> Housing Association</w:t>
            </w:r>
          </w:p>
        </w:tc>
        <w:tc>
          <w:tcPr>
            <w:tcW w:w="1017" w:type="dxa"/>
          </w:tcPr>
          <w:p w14:paraId="6D30FF42" w14:textId="01E362DE" w:rsidR="00B24FB0" w:rsidRPr="009C7BBF" w:rsidRDefault="007B1C34" w:rsidP="00D155B0">
            <w:pPr>
              <w:rPr>
                <w:rFonts w:cs="Arial"/>
                <w:szCs w:val="24"/>
              </w:rPr>
            </w:pPr>
            <w:r w:rsidRPr="009C7BBF">
              <w:rPr>
                <w:rFonts w:cs="Arial"/>
                <w:szCs w:val="24"/>
              </w:rPr>
              <w:t>5</w:t>
            </w:r>
            <w:r w:rsidR="00234A5B">
              <w:rPr>
                <w:rFonts w:cs="Arial"/>
                <w:szCs w:val="24"/>
              </w:rPr>
              <w:t>9</w:t>
            </w:r>
          </w:p>
        </w:tc>
        <w:tc>
          <w:tcPr>
            <w:tcW w:w="1843" w:type="dxa"/>
          </w:tcPr>
          <w:p w14:paraId="01EDE2B1" w14:textId="03559295" w:rsidR="00B24FB0" w:rsidRPr="009C7BBF" w:rsidRDefault="007B1C34" w:rsidP="00D155B0">
            <w:pPr>
              <w:rPr>
                <w:rFonts w:cs="Arial"/>
                <w:szCs w:val="24"/>
              </w:rPr>
            </w:pPr>
            <w:r w:rsidRPr="009C7BBF">
              <w:rPr>
                <w:rFonts w:cs="Arial"/>
                <w:szCs w:val="24"/>
              </w:rPr>
              <w:t>TBD</w:t>
            </w:r>
          </w:p>
        </w:tc>
      </w:tr>
      <w:tr w:rsidR="00B24FB0" w:rsidRPr="009C7BBF" w14:paraId="3D9A8B88" w14:textId="77777777" w:rsidTr="006D52E3">
        <w:tc>
          <w:tcPr>
            <w:tcW w:w="2296" w:type="dxa"/>
          </w:tcPr>
          <w:p w14:paraId="1A26D7BB" w14:textId="3CA8093A" w:rsidR="00B24FB0" w:rsidRPr="009C7BBF" w:rsidRDefault="004277AA" w:rsidP="00D155B0">
            <w:pPr>
              <w:rPr>
                <w:rFonts w:cs="Arial"/>
                <w:szCs w:val="24"/>
              </w:rPr>
            </w:pPr>
            <w:r>
              <w:rPr>
                <w:rFonts w:cs="Arial"/>
                <w:szCs w:val="24"/>
              </w:rPr>
              <w:t xml:space="preserve">Harrow View </w:t>
            </w:r>
            <w:r w:rsidR="00234A5B">
              <w:rPr>
                <w:rFonts w:cs="Arial"/>
                <w:szCs w:val="24"/>
              </w:rPr>
              <w:t>East</w:t>
            </w:r>
            <w:r>
              <w:rPr>
                <w:rFonts w:cs="Arial"/>
                <w:szCs w:val="24"/>
              </w:rPr>
              <w:t xml:space="preserve"> (Kodak site)</w:t>
            </w:r>
          </w:p>
        </w:tc>
        <w:tc>
          <w:tcPr>
            <w:tcW w:w="2527" w:type="dxa"/>
          </w:tcPr>
          <w:p w14:paraId="5F2ECF76" w14:textId="56F98599" w:rsidR="00B24FB0" w:rsidRPr="009C7BBF" w:rsidRDefault="00234A5B" w:rsidP="00D155B0">
            <w:pPr>
              <w:rPr>
                <w:rFonts w:cs="Arial"/>
                <w:szCs w:val="24"/>
              </w:rPr>
            </w:pPr>
            <w:r>
              <w:rPr>
                <w:rFonts w:cs="Arial"/>
                <w:szCs w:val="24"/>
              </w:rPr>
              <w:t>To be appointed</w:t>
            </w:r>
          </w:p>
        </w:tc>
        <w:tc>
          <w:tcPr>
            <w:tcW w:w="1017" w:type="dxa"/>
          </w:tcPr>
          <w:p w14:paraId="0B113C72" w14:textId="5A61EE76" w:rsidR="00B24FB0" w:rsidRPr="009C7BBF" w:rsidRDefault="004277AA" w:rsidP="00D155B0">
            <w:pPr>
              <w:rPr>
                <w:rFonts w:cs="Arial"/>
                <w:szCs w:val="24"/>
              </w:rPr>
            </w:pPr>
            <w:r>
              <w:rPr>
                <w:rFonts w:cs="Arial"/>
                <w:szCs w:val="24"/>
              </w:rPr>
              <w:t>60</w:t>
            </w:r>
          </w:p>
        </w:tc>
        <w:tc>
          <w:tcPr>
            <w:tcW w:w="1843" w:type="dxa"/>
          </w:tcPr>
          <w:p w14:paraId="21D9DA5B" w14:textId="3D8712A7" w:rsidR="00B24FB0" w:rsidRPr="009C7BBF" w:rsidRDefault="007C1987" w:rsidP="00D155B0">
            <w:pPr>
              <w:rPr>
                <w:rFonts w:cs="Arial"/>
                <w:szCs w:val="24"/>
              </w:rPr>
            </w:pPr>
            <w:r>
              <w:rPr>
                <w:rFonts w:cs="Arial"/>
                <w:szCs w:val="24"/>
              </w:rPr>
              <w:t>Estimated 2023-24</w:t>
            </w:r>
          </w:p>
        </w:tc>
      </w:tr>
    </w:tbl>
    <w:p w14:paraId="143682E7" w14:textId="724E67DC" w:rsidR="007104B6" w:rsidRDefault="007104B6" w:rsidP="009F53FE">
      <w:pPr>
        <w:rPr>
          <w:rFonts w:cs="Arial"/>
          <w:szCs w:val="24"/>
        </w:rPr>
      </w:pPr>
    </w:p>
    <w:p w14:paraId="0A99FE2F" w14:textId="77777777" w:rsidR="00E84B6B" w:rsidRPr="009C7BBF" w:rsidRDefault="00E84B6B" w:rsidP="009F53FE">
      <w:pPr>
        <w:rPr>
          <w:rFonts w:cs="Arial"/>
          <w:szCs w:val="24"/>
        </w:rPr>
      </w:pPr>
    </w:p>
    <w:p w14:paraId="06860D77" w14:textId="771ABD0C" w:rsidR="00523C4B" w:rsidRPr="00C15624" w:rsidRDefault="00B40C06" w:rsidP="00C15624">
      <w:pPr>
        <w:pStyle w:val="ListParagraph"/>
        <w:numPr>
          <w:ilvl w:val="0"/>
          <w:numId w:val="5"/>
        </w:numPr>
        <w:rPr>
          <w:rFonts w:cs="Arial"/>
          <w:szCs w:val="24"/>
        </w:rPr>
      </w:pPr>
      <w:r w:rsidRPr="00C15624">
        <w:rPr>
          <w:rFonts w:cs="Arial"/>
          <w:szCs w:val="24"/>
        </w:rPr>
        <w:t>An</w:t>
      </w:r>
      <w:r w:rsidR="00523C4B" w:rsidRPr="00C15624">
        <w:rPr>
          <w:rFonts w:cs="Arial"/>
          <w:szCs w:val="24"/>
        </w:rPr>
        <w:t xml:space="preserve"> Extra Care provision of 60 units </w:t>
      </w:r>
      <w:r w:rsidR="00C15624" w:rsidRPr="00C15624">
        <w:rPr>
          <w:rFonts w:cs="Arial"/>
          <w:szCs w:val="24"/>
        </w:rPr>
        <w:t xml:space="preserve">is </w:t>
      </w:r>
      <w:r w:rsidR="00523C4B" w:rsidRPr="00C15624">
        <w:rPr>
          <w:rFonts w:cs="Arial"/>
          <w:szCs w:val="24"/>
        </w:rPr>
        <w:t>to be provided at Affordable Rent</w:t>
      </w:r>
      <w:r w:rsidRPr="00C15624">
        <w:rPr>
          <w:rFonts w:cs="Arial"/>
          <w:szCs w:val="24"/>
        </w:rPr>
        <w:t xml:space="preserve"> as part of the S106 for the Harrow View East site.</w:t>
      </w:r>
      <w:r w:rsidR="00523C4B" w:rsidRPr="00C15624">
        <w:rPr>
          <w:rFonts w:cs="Arial"/>
          <w:szCs w:val="24"/>
        </w:rPr>
        <w:t xml:space="preserve">  This scheme is being provided within block D2 of the plans and will be built as part of Phase 6.  </w:t>
      </w:r>
      <w:r w:rsidR="00C15624" w:rsidRPr="00C15624">
        <w:rPr>
          <w:rFonts w:cs="Arial"/>
          <w:szCs w:val="24"/>
        </w:rPr>
        <w:t>The timescale for phasing is being considered.</w:t>
      </w:r>
    </w:p>
    <w:p w14:paraId="4A030F00" w14:textId="77777777" w:rsidR="00523C4B" w:rsidRDefault="00523C4B" w:rsidP="009C7BBF">
      <w:pPr>
        <w:pStyle w:val="ListParagraph"/>
        <w:ind w:left="360"/>
        <w:rPr>
          <w:rFonts w:cs="Arial"/>
          <w:b/>
          <w:bCs/>
          <w:szCs w:val="24"/>
        </w:rPr>
      </w:pPr>
    </w:p>
    <w:p w14:paraId="0EEB31D1" w14:textId="57BB609C" w:rsidR="004277AA" w:rsidRPr="00C15624" w:rsidRDefault="009E0EF8" w:rsidP="00C15624">
      <w:pPr>
        <w:pStyle w:val="ListParagraph"/>
        <w:numPr>
          <w:ilvl w:val="0"/>
          <w:numId w:val="5"/>
        </w:numPr>
        <w:rPr>
          <w:rFonts w:cs="Arial"/>
          <w:szCs w:val="24"/>
        </w:rPr>
      </w:pPr>
      <w:r>
        <w:rPr>
          <w:rFonts w:cs="Arial"/>
          <w:szCs w:val="24"/>
        </w:rPr>
        <w:t xml:space="preserve">Upon appointment of a </w:t>
      </w:r>
      <w:r w:rsidR="004277AA" w:rsidRPr="00C15624">
        <w:rPr>
          <w:rFonts w:cs="Arial"/>
          <w:szCs w:val="24"/>
        </w:rPr>
        <w:t xml:space="preserve">Housing Provider </w:t>
      </w:r>
      <w:r w:rsidR="004632C3">
        <w:rPr>
          <w:rFonts w:cs="Arial"/>
          <w:szCs w:val="24"/>
        </w:rPr>
        <w:t xml:space="preserve">by the Developer </w:t>
      </w:r>
      <w:r w:rsidR="004277AA" w:rsidRPr="00C15624">
        <w:rPr>
          <w:rFonts w:cs="Arial"/>
          <w:szCs w:val="24"/>
        </w:rPr>
        <w:t xml:space="preserve">for Harrow View </w:t>
      </w:r>
      <w:r w:rsidR="00234A5B">
        <w:rPr>
          <w:rFonts w:cs="Arial"/>
          <w:szCs w:val="24"/>
        </w:rPr>
        <w:t>East</w:t>
      </w:r>
      <w:r w:rsidR="004632C3">
        <w:rPr>
          <w:rFonts w:cs="Arial"/>
          <w:szCs w:val="24"/>
        </w:rPr>
        <w:t>, officers will</w:t>
      </w:r>
      <w:r w:rsidR="00234A5B" w:rsidRPr="00C15624">
        <w:rPr>
          <w:rFonts w:cs="Arial"/>
          <w:szCs w:val="24"/>
        </w:rPr>
        <w:t xml:space="preserve"> </w:t>
      </w:r>
      <w:r w:rsidR="00523C4B" w:rsidRPr="00C15624">
        <w:rPr>
          <w:rFonts w:cs="Arial"/>
          <w:szCs w:val="24"/>
        </w:rPr>
        <w:t xml:space="preserve">meet </w:t>
      </w:r>
      <w:r w:rsidR="00234A5B">
        <w:rPr>
          <w:rFonts w:cs="Arial"/>
          <w:szCs w:val="24"/>
        </w:rPr>
        <w:t xml:space="preserve">will </w:t>
      </w:r>
      <w:r w:rsidR="00523C4B" w:rsidRPr="00C15624">
        <w:rPr>
          <w:rFonts w:cs="Arial"/>
          <w:szCs w:val="24"/>
        </w:rPr>
        <w:t xml:space="preserve">to </w:t>
      </w:r>
      <w:r w:rsidR="00B40C06" w:rsidRPr="00C15624">
        <w:rPr>
          <w:rFonts w:cs="Arial"/>
          <w:szCs w:val="24"/>
        </w:rPr>
        <w:t>progress the requirements for the scheme</w:t>
      </w:r>
      <w:r w:rsidR="00523C4B" w:rsidRPr="00C15624">
        <w:rPr>
          <w:rFonts w:cs="Arial"/>
          <w:szCs w:val="24"/>
        </w:rPr>
        <w:t>.</w:t>
      </w:r>
      <w:r w:rsidR="004277AA" w:rsidRPr="00C15624">
        <w:rPr>
          <w:rFonts w:cs="Arial"/>
          <w:szCs w:val="24"/>
        </w:rPr>
        <w:t xml:space="preserve">  </w:t>
      </w:r>
    </w:p>
    <w:p w14:paraId="32C2AAAA" w14:textId="77777777" w:rsidR="004277AA" w:rsidRDefault="004277AA" w:rsidP="009C7BBF">
      <w:pPr>
        <w:pStyle w:val="ListParagraph"/>
        <w:ind w:left="360"/>
        <w:rPr>
          <w:rFonts w:cs="Arial"/>
          <w:b/>
          <w:bCs/>
          <w:szCs w:val="24"/>
        </w:rPr>
      </w:pPr>
    </w:p>
    <w:p w14:paraId="0A488E8B" w14:textId="6E544AB3" w:rsidR="00476C71" w:rsidRPr="009C7BBF" w:rsidRDefault="009F53FE" w:rsidP="009C7BBF">
      <w:pPr>
        <w:pStyle w:val="ListParagraph"/>
        <w:ind w:left="360"/>
        <w:rPr>
          <w:rFonts w:cs="Arial"/>
          <w:b/>
          <w:bCs/>
          <w:szCs w:val="24"/>
        </w:rPr>
      </w:pPr>
      <w:r w:rsidRPr="009C7BBF">
        <w:rPr>
          <w:rFonts w:cs="Arial"/>
          <w:b/>
          <w:bCs/>
          <w:szCs w:val="24"/>
        </w:rPr>
        <w:t xml:space="preserve">Commissioning Wellbeing Care and Support Services and Accommodation </w:t>
      </w:r>
    </w:p>
    <w:p w14:paraId="1C912DEF" w14:textId="77777777" w:rsidR="00476C71" w:rsidRPr="009C7BBF" w:rsidRDefault="00476C71" w:rsidP="009F53FE">
      <w:pPr>
        <w:rPr>
          <w:rFonts w:cs="Arial"/>
          <w:szCs w:val="24"/>
        </w:rPr>
      </w:pPr>
    </w:p>
    <w:p w14:paraId="089BEF96" w14:textId="7DDF3448" w:rsidR="007104B6" w:rsidRPr="009C7BBF" w:rsidRDefault="007D1AB5" w:rsidP="009C7BBF">
      <w:pPr>
        <w:pStyle w:val="ListParagraph"/>
        <w:numPr>
          <w:ilvl w:val="0"/>
          <w:numId w:val="5"/>
        </w:numPr>
        <w:rPr>
          <w:rFonts w:cs="Arial"/>
          <w:szCs w:val="24"/>
        </w:rPr>
      </w:pPr>
      <w:r w:rsidRPr="009C7BBF">
        <w:rPr>
          <w:rFonts w:cs="Arial"/>
          <w:szCs w:val="24"/>
        </w:rPr>
        <w:t>The</w:t>
      </w:r>
      <w:r w:rsidR="00C15624">
        <w:rPr>
          <w:rFonts w:cs="Arial"/>
          <w:szCs w:val="24"/>
        </w:rPr>
        <w:t xml:space="preserve"> following</w:t>
      </w:r>
      <w:r w:rsidRPr="009C7BBF">
        <w:rPr>
          <w:rFonts w:cs="Arial"/>
          <w:szCs w:val="24"/>
        </w:rPr>
        <w:t xml:space="preserve"> </w:t>
      </w:r>
      <w:r w:rsidR="00B0729B" w:rsidRPr="009C7BBF">
        <w:rPr>
          <w:rFonts w:cs="Arial"/>
          <w:szCs w:val="24"/>
        </w:rPr>
        <w:t xml:space="preserve">service </w:t>
      </w:r>
      <w:r w:rsidRPr="009C7BBF">
        <w:rPr>
          <w:rFonts w:cs="Arial"/>
          <w:szCs w:val="24"/>
        </w:rPr>
        <w:t xml:space="preserve">functions </w:t>
      </w:r>
      <w:r w:rsidR="00C15624">
        <w:rPr>
          <w:rFonts w:cs="Arial"/>
          <w:szCs w:val="24"/>
        </w:rPr>
        <w:t xml:space="preserve">are </w:t>
      </w:r>
      <w:r w:rsidRPr="009C7BBF">
        <w:rPr>
          <w:rFonts w:cs="Arial"/>
          <w:szCs w:val="24"/>
        </w:rPr>
        <w:t xml:space="preserve">required for extra </w:t>
      </w:r>
      <w:r w:rsidR="00C15624">
        <w:rPr>
          <w:rFonts w:cs="Arial"/>
          <w:szCs w:val="24"/>
        </w:rPr>
        <w:t xml:space="preserve">care </w:t>
      </w:r>
      <w:r w:rsidRPr="009C7BBF">
        <w:rPr>
          <w:rFonts w:cs="Arial"/>
          <w:szCs w:val="24"/>
        </w:rPr>
        <w:t xml:space="preserve">schemes: </w:t>
      </w:r>
    </w:p>
    <w:p w14:paraId="61430516" w14:textId="77777777" w:rsidR="007104B6" w:rsidRPr="009C7BBF" w:rsidRDefault="007104B6" w:rsidP="007D1AB5">
      <w:pPr>
        <w:rPr>
          <w:rFonts w:cs="Arial"/>
          <w:szCs w:val="24"/>
        </w:rPr>
      </w:pPr>
    </w:p>
    <w:p w14:paraId="632714A7" w14:textId="5496F638" w:rsidR="00B0729B" w:rsidRPr="009C7BBF" w:rsidRDefault="007D1AB5" w:rsidP="004632C3">
      <w:pPr>
        <w:pStyle w:val="ListParagraph"/>
        <w:numPr>
          <w:ilvl w:val="0"/>
          <w:numId w:val="18"/>
        </w:numPr>
        <w:ind w:left="1276"/>
        <w:rPr>
          <w:rFonts w:cs="Arial"/>
          <w:szCs w:val="24"/>
        </w:rPr>
      </w:pPr>
      <w:r w:rsidRPr="009C7BBF">
        <w:rPr>
          <w:rFonts w:cs="Arial"/>
          <w:szCs w:val="24"/>
        </w:rPr>
        <w:t xml:space="preserve">the delivery of the accommodation and housing </w:t>
      </w:r>
      <w:r w:rsidR="00C15624">
        <w:rPr>
          <w:rFonts w:cs="Arial"/>
          <w:szCs w:val="24"/>
        </w:rPr>
        <w:t xml:space="preserve">support </w:t>
      </w:r>
      <w:r w:rsidRPr="009C7BBF">
        <w:rPr>
          <w:rFonts w:cs="Arial"/>
          <w:szCs w:val="24"/>
        </w:rPr>
        <w:t xml:space="preserve">services </w:t>
      </w:r>
    </w:p>
    <w:p w14:paraId="2EB01CBA" w14:textId="77777777" w:rsidR="003B5893" w:rsidRDefault="007D1AB5" w:rsidP="004632C3">
      <w:pPr>
        <w:pStyle w:val="ListParagraph"/>
        <w:numPr>
          <w:ilvl w:val="0"/>
          <w:numId w:val="18"/>
        </w:numPr>
        <w:ind w:left="1276"/>
        <w:rPr>
          <w:rFonts w:cs="Arial"/>
          <w:szCs w:val="24"/>
        </w:rPr>
      </w:pPr>
      <w:r w:rsidRPr="009C7BBF">
        <w:rPr>
          <w:rFonts w:cs="Arial"/>
          <w:szCs w:val="24"/>
        </w:rPr>
        <w:t>the wellbeing care and support service</w:t>
      </w:r>
    </w:p>
    <w:p w14:paraId="370B3B99" w14:textId="77777777" w:rsidR="007104B6" w:rsidRPr="009C7BBF" w:rsidRDefault="007104B6" w:rsidP="007D1AB5">
      <w:pPr>
        <w:rPr>
          <w:rFonts w:cs="Arial"/>
          <w:szCs w:val="24"/>
        </w:rPr>
      </w:pPr>
    </w:p>
    <w:p w14:paraId="216ADAD1" w14:textId="185FCAFD" w:rsidR="003B5893" w:rsidRPr="009E0EF8" w:rsidRDefault="007D1AB5" w:rsidP="00812C1E">
      <w:pPr>
        <w:pStyle w:val="ListParagraph"/>
        <w:numPr>
          <w:ilvl w:val="0"/>
          <w:numId w:val="5"/>
        </w:numPr>
        <w:rPr>
          <w:rFonts w:cs="Arial"/>
          <w:szCs w:val="24"/>
        </w:rPr>
      </w:pPr>
      <w:bookmarkStart w:id="0" w:name="_Hlk53049669"/>
      <w:r w:rsidRPr="009E0EF8">
        <w:rPr>
          <w:rFonts w:cs="Arial"/>
          <w:szCs w:val="24"/>
        </w:rPr>
        <w:t xml:space="preserve">Extra Care schemes are delivered either by a single </w:t>
      </w:r>
      <w:r w:rsidR="00273E68" w:rsidRPr="009E0EF8">
        <w:rPr>
          <w:rFonts w:cs="Arial"/>
          <w:szCs w:val="24"/>
        </w:rPr>
        <w:t xml:space="preserve">organisation with separate housing and care and wellbeing services </w:t>
      </w:r>
      <w:r w:rsidR="006D52E3" w:rsidRPr="009E0EF8">
        <w:rPr>
          <w:rFonts w:cs="Arial"/>
          <w:szCs w:val="24"/>
        </w:rPr>
        <w:t xml:space="preserve">or a separate housing provider and care support provider.  </w:t>
      </w:r>
      <w:r w:rsidR="00273E68" w:rsidRPr="009E0EF8">
        <w:rPr>
          <w:rFonts w:cs="Arial"/>
          <w:szCs w:val="24"/>
        </w:rPr>
        <w:t xml:space="preserve">All must be </w:t>
      </w:r>
      <w:r w:rsidR="00B40C06" w:rsidRPr="009E0EF8">
        <w:rPr>
          <w:rFonts w:cs="Arial"/>
          <w:szCs w:val="24"/>
        </w:rPr>
        <w:t xml:space="preserve">registered with the appropriate </w:t>
      </w:r>
      <w:r w:rsidR="00AE2C1B" w:rsidRPr="009E0EF8">
        <w:rPr>
          <w:rFonts w:cs="Arial"/>
          <w:szCs w:val="24"/>
        </w:rPr>
        <w:t xml:space="preserve">regulated </w:t>
      </w:r>
      <w:r w:rsidR="00B40C06" w:rsidRPr="009E0EF8">
        <w:rPr>
          <w:rFonts w:cs="Arial"/>
          <w:szCs w:val="24"/>
        </w:rPr>
        <w:t xml:space="preserve">bodies </w:t>
      </w:r>
      <w:r w:rsidR="00273E68" w:rsidRPr="009E0EF8">
        <w:rPr>
          <w:rFonts w:cs="Arial"/>
          <w:szCs w:val="24"/>
        </w:rPr>
        <w:t xml:space="preserve">for </w:t>
      </w:r>
      <w:r w:rsidR="00AE2C1B" w:rsidRPr="009E0EF8">
        <w:rPr>
          <w:rFonts w:cs="Arial"/>
          <w:szCs w:val="24"/>
        </w:rPr>
        <w:t xml:space="preserve">the service they are providing e.g. </w:t>
      </w:r>
      <w:r w:rsidR="00273E68" w:rsidRPr="009E0EF8">
        <w:rPr>
          <w:rFonts w:cs="Arial"/>
          <w:szCs w:val="24"/>
        </w:rPr>
        <w:t xml:space="preserve">housing (Regulator of Social Housing) </w:t>
      </w:r>
      <w:r w:rsidRPr="009E0EF8">
        <w:rPr>
          <w:rFonts w:cs="Arial"/>
          <w:szCs w:val="24"/>
        </w:rPr>
        <w:t>and care and support services</w:t>
      </w:r>
      <w:r w:rsidR="00273E68" w:rsidRPr="009E0EF8">
        <w:rPr>
          <w:rFonts w:cs="Arial"/>
          <w:szCs w:val="24"/>
        </w:rPr>
        <w:t xml:space="preserve"> (CQC).</w:t>
      </w:r>
      <w:r w:rsidRPr="009E0EF8">
        <w:rPr>
          <w:rFonts w:cs="Arial"/>
          <w:szCs w:val="24"/>
        </w:rPr>
        <w:t xml:space="preserve"> </w:t>
      </w:r>
      <w:r w:rsidR="00273E68" w:rsidRPr="009E0EF8">
        <w:rPr>
          <w:rFonts w:cs="Arial"/>
          <w:szCs w:val="24"/>
        </w:rPr>
        <w:t xml:space="preserve"> </w:t>
      </w:r>
      <w:r w:rsidR="007104B6" w:rsidRPr="009E0EF8">
        <w:rPr>
          <w:rFonts w:cs="Arial"/>
          <w:szCs w:val="24"/>
        </w:rPr>
        <w:t xml:space="preserve">The registered </w:t>
      </w:r>
      <w:r w:rsidR="003B5893" w:rsidRPr="009E0EF8">
        <w:rPr>
          <w:rFonts w:cs="Arial"/>
          <w:szCs w:val="24"/>
        </w:rPr>
        <w:t xml:space="preserve">housing </w:t>
      </w:r>
      <w:r w:rsidR="007104B6" w:rsidRPr="009E0EF8">
        <w:rPr>
          <w:rFonts w:cs="Arial"/>
          <w:szCs w:val="24"/>
        </w:rPr>
        <w:t xml:space="preserve">provider for Ewart House and Windridge Court is Harrow Churches Housing Association. The provider for the </w:t>
      </w:r>
      <w:r w:rsidR="00977457" w:rsidRPr="009E0EF8">
        <w:rPr>
          <w:rFonts w:cs="Arial"/>
          <w:szCs w:val="24"/>
        </w:rPr>
        <w:t xml:space="preserve">Care and </w:t>
      </w:r>
      <w:r w:rsidR="007104B6" w:rsidRPr="009E0EF8">
        <w:rPr>
          <w:rFonts w:cs="Arial"/>
          <w:szCs w:val="24"/>
        </w:rPr>
        <w:t xml:space="preserve">Wellbeing Support Services will be procured. </w:t>
      </w:r>
    </w:p>
    <w:bookmarkEnd w:id="0"/>
    <w:p w14:paraId="4BA53A53" w14:textId="1BDAC640" w:rsidR="007D1AB5" w:rsidRPr="009C7BBF" w:rsidRDefault="007D1AB5" w:rsidP="007D1AB5">
      <w:pPr>
        <w:rPr>
          <w:rFonts w:cs="Arial"/>
          <w:szCs w:val="24"/>
        </w:rPr>
      </w:pPr>
    </w:p>
    <w:p w14:paraId="1CBB52DA" w14:textId="680D79E4" w:rsidR="007D1AB5" w:rsidRPr="009C7BBF" w:rsidRDefault="007D1AB5" w:rsidP="009C7BBF">
      <w:pPr>
        <w:pStyle w:val="ListParagraph"/>
        <w:numPr>
          <w:ilvl w:val="0"/>
          <w:numId w:val="5"/>
        </w:numPr>
        <w:rPr>
          <w:rFonts w:cs="Arial"/>
          <w:szCs w:val="24"/>
        </w:rPr>
      </w:pPr>
      <w:r w:rsidRPr="009C7BBF">
        <w:rPr>
          <w:rFonts w:cs="Arial"/>
          <w:szCs w:val="24"/>
        </w:rPr>
        <w:t>Through the procurement and market engagement processes officers will explore options to secure the most cost effective and quality providers</w:t>
      </w:r>
      <w:r w:rsidR="00C15624">
        <w:rPr>
          <w:rFonts w:cs="Arial"/>
          <w:szCs w:val="24"/>
        </w:rPr>
        <w:t xml:space="preserve"> across these two facilities</w:t>
      </w:r>
      <w:r w:rsidRPr="009C7BBF">
        <w:rPr>
          <w:rFonts w:cs="Arial"/>
          <w:szCs w:val="24"/>
        </w:rPr>
        <w:t xml:space="preserve">. As there is </w:t>
      </w:r>
      <w:r w:rsidR="00C15624">
        <w:rPr>
          <w:rFonts w:cs="Arial"/>
          <w:szCs w:val="24"/>
        </w:rPr>
        <w:t xml:space="preserve">a </w:t>
      </w:r>
      <w:r w:rsidRPr="009C7BBF">
        <w:rPr>
          <w:rFonts w:cs="Arial"/>
          <w:szCs w:val="24"/>
        </w:rPr>
        <w:t xml:space="preserve">pipeline of supply planned, officers </w:t>
      </w:r>
      <w:r w:rsidR="00C15624">
        <w:rPr>
          <w:rFonts w:cs="Arial"/>
          <w:szCs w:val="24"/>
        </w:rPr>
        <w:t xml:space="preserve">may in the future </w:t>
      </w:r>
      <w:r w:rsidRPr="009C7BBF">
        <w:rPr>
          <w:rFonts w:cs="Arial"/>
          <w:szCs w:val="24"/>
        </w:rPr>
        <w:t xml:space="preserve">explore a procurement framework approach for the commissioning of the </w:t>
      </w:r>
      <w:r w:rsidR="00977457">
        <w:rPr>
          <w:rFonts w:cs="Arial"/>
          <w:szCs w:val="24"/>
        </w:rPr>
        <w:t xml:space="preserve">care and </w:t>
      </w:r>
      <w:r w:rsidRPr="009C7BBF">
        <w:rPr>
          <w:rFonts w:cs="Arial"/>
          <w:szCs w:val="24"/>
        </w:rPr>
        <w:t xml:space="preserve">wellbeing support services.  </w:t>
      </w:r>
    </w:p>
    <w:p w14:paraId="596640B9" w14:textId="3B56C27D" w:rsidR="007D1AB5" w:rsidRPr="009C7BBF" w:rsidRDefault="007D1AB5" w:rsidP="009C7BBF">
      <w:pPr>
        <w:ind w:firstLine="68"/>
        <w:rPr>
          <w:rFonts w:cs="Arial"/>
          <w:szCs w:val="24"/>
        </w:rPr>
      </w:pPr>
    </w:p>
    <w:p w14:paraId="1D66F80D" w14:textId="17B9B2CF" w:rsidR="009F53FE" w:rsidRPr="009C7BBF" w:rsidRDefault="009F53FE" w:rsidP="009C7BBF">
      <w:pPr>
        <w:pStyle w:val="ListParagraph"/>
        <w:numPr>
          <w:ilvl w:val="0"/>
          <w:numId w:val="5"/>
        </w:numPr>
        <w:rPr>
          <w:rFonts w:cs="Arial"/>
          <w:szCs w:val="24"/>
        </w:rPr>
      </w:pPr>
      <w:r w:rsidRPr="009C7BBF">
        <w:rPr>
          <w:rFonts w:cs="Arial"/>
          <w:szCs w:val="24"/>
        </w:rPr>
        <w:lastRenderedPageBreak/>
        <w:t xml:space="preserve">The </w:t>
      </w:r>
      <w:r w:rsidR="00977457">
        <w:rPr>
          <w:rFonts w:cs="Arial"/>
          <w:szCs w:val="24"/>
        </w:rPr>
        <w:t xml:space="preserve">care and </w:t>
      </w:r>
      <w:r w:rsidRPr="009C7BBF">
        <w:rPr>
          <w:rFonts w:cs="Arial"/>
          <w:szCs w:val="24"/>
        </w:rPr>
        <w:t xml:space="preserve">wellbeing support service will need to be flexible to meet the changing needs of citizens </w:t>
      </w:r>
      <w:r w:rsidR="000E10FF" w:rsidRPr="009C7BBF">
        <w:rPr>
          <w:rFonts w:cs="Arial"/>
          <w:szCs w:val="24"/>
        </w:rPr>
        <w:t>and</w:t>
      </w:r>
      <w:r w:rsidRPr="009C7BBF">
        <w:rPr>
          <w:rFonts w:cs="Arial"/>
          <w:szCs w:val="24"/>
        </w:rPr>
        <w:t xml:space="preserve"> to meet the diverse cultural needs in Harrow.  </w:t>
      </w:r>
    </w:p>
    <w:p w14:paraId="1246C4A5" w14:textId="77777777" w:rsidR="00333FAA" w:rsidRPr="00F06E4E" w:rsidRDefault="00333FAA" w:rsidP="00333FAA">
      <w:pPr>
        <w:rPr>
          <w:rFonts w:cs="Arial"/>
          <w:color w:val="0000FF"/>
          <w:sz w:val="28"/>
          <w:szCs w:val="28"/>
        </w:rPr>
      </w:pPr>
    </w:p>
    <w:p w14:paraId="3FF2B114" w14:textId="77777777" w:rsidR="00333FAA" w:rsidRPr="00C15624" w:rsidRDefault="00333FAA" w:rsidP="00736A03">
      <w:pPr>
        <w:rPr>
          <w:rFonts w:cs="Arial"/>
          <w:b/>
          <w:bCs/>
          <w:szCs w:val="24"/>
        </w:rPr>
      </w:pPr>
      <w:r w:rsidRPr="00C15624">
        <w:rPr>
          <w:rFonts w:cs="Arial"/>
          <w:b/>
          <w:bCs/>
          <w:szCs w:val="24"/>
        </w:rPr>
        <w:t>Performance Issues</w:t>
      </w:r>
    </w:p>
    <w:p w14:paraId="158DC17C" w14:textId="0519CAF9" w:rsidR="005369DC" w:rsidRPr="00736A03" w:rsidRDefault="005369DC" w:rsidP="005369DC">
      <w:pPr>
        <w:tabs>
          <w:tab w:val="left" w:pos="7245"/>
        </w:tabs>
        <w:rPr>
          <w:iCs/>
        </w:rPr>
      </w:pPr>
    </w:p>
    <w:p w14:paraId="3E19B63E" w14:textId="66C68CB9" w:rsidR="00FE41C9" w:rsidRPr="00C15624" w:rsidRDefault="00FE41C9" w:rsidP="00C15624">
      <w:pPr>
        <w:pStyle w:val="ListParagraph"/>
        <w:numPr>
          <w:ilvl w:val="0"/>
          <w:numId w:val="5"/>
        </w:numPr>
        <w:rPr>
          <w:iCs/>
          <w:color w:val="0000FF"/>
        </w:rPr>
      </w:pPr>
      <w:r w:rsidRPr="00C15624">
        <w:rPr>
          <w:rFonts w:cs="Arial"/>
          <w:szCs w:val="24"/>
        </w:rPr>
        <w:t>Provision</w:t>
      </w:r>
      <w:r w:rsidRPr="00C15624">
        <w:rPr>
          <w:iCs/>
        </w:rPr>
        <w:t xml:space="preserve"> of extra care will reduce reliance on moves from the community to residential care and improve outcomes associated with quality of life among long term service users.</w:t>
      </w:r>
    </w:p>
    <w:p w14:paraId="5755B6B9" w14:textId="6631C77B" w:rsidR="00FE41C9" w:rsidRDefault="00FE41C9" w:rsidP="00FE41C9">
      <w:pPr>
        <w:ind w:left="360"/>
        <w:rPr>
          <w:iCs/>
          <w:color w:val="0000FF"/>
        </w:rPr>
      </w:pPr>
    </w:p>
    <w:p w14:paraId="1EBEAEA6" w14:textId="5265C335" w:rsidR="00FE41C9" w:rsidRPr="00736A03" w:rsidRDefault="00C15624" w:rsidP="00FE41C9">
      <w:pPr>
        <w:pStyle w:val="ListParagraph"/>
        <w:numPr>
          <w:ilvl w:val="0"/>
          <w:numId w:val="5"/>
        </w:numPr>
        <w:rPr>
          <w:iCs/>
        </w:rPr>
      </w:pPr>
      <w:r>
        <w:rPr>
          <w:iCs/>
        </w:rPr>
        <w:t>In addition</w:t>
      </w:r>
      <w:r w:rsidR="000E10FF">
        <w:rPr>
          <w:iCs/>
        </w:rPr>
        <w:t>,</w:t>
      </w:r>
      <w:r>
        <w:rPr>
          <w:iCs/>
        </w:rPr>
        <w:t xml:space="preserve"> Extra Care will i</w:t>
      </w:r>
      <w:r w:rsidR="00FE41C9" w:rsidRPr="00736A03">
        <w:rPr>
          <w:iCs/>
        </w:rPr>
        <w:t xml:space="preserve">mpact on </w:t>
      </w:r>
      <w:r>
        <w:rPr>
          <w:iCs/>
        </w:rPr>
        <w:t xml:space="preserve">the local and national </w:t>
      </w:r>
      <w:r w:rsidR="00FE41C9" w:rsidRPr="00736A03">
        <w:rPr>
          <w:iCs/>
        </w:rPr>
        <w:t>performance indicators</w:t>
      </w:r>
      <w:r>
        <w:rPr>
          <w:iCs/>
        </w:rPr>
        <w:t>:</w:t>
      </w:r>
    </w:p>
    <w:p w14:paraId="03DD3E03" w14:textId="4C82E165" w:rsidR="00FE41C9" w:rsidRPr="00736A03" w:rsidRDefault="00FE41C9" w:rsidP="00FE41C9">
      <w:pPr>
        <w:rPr>
          <w:iCs/>
        </w:rPr>
      </w:pPr>
    </w:p>
    <w:p w14:paraId="540DC944" w14:textId="5211C00B" w:rsidR="00FE41C9" w:rsidRPr="00751FEE" w:rsidRDefault="00FE41C9" w:rsidP="00751FEE">
      <w:pPr>
        <w:pStyle w:val="Heading3"/>
        <w:numPr>
          <w:ilvl w:val="0"/>
          <w:numId w:val="14"/>
        </w:numPr>
        <w:jc w:val="left"/>
        <w:rPr>
          <w:b w:val="0"/>
          <w:bCs w:val="0"/>
          <w:iCs/>
          <w:sz w:val="24"/>
          <w:szCs w:val="24"/>
        </w:rPr>
      </w:pPr>
      <w:r w:rsidRPr="00751FEE">
        <w:rPr>
          <w:b w:val="0"/>
          <w:bCs w:val="0"/>
          <w:iCs/>
          <w:sz w:val="24"/>
          <w:szCs w:val="24"/>
        </w:rPr>
        <w:t>Reductions in residential care would be reflected positively in the national performance indicators.</w:t>
      </w:r>
    </w:p>
    <w:p w14:paraId="0E0152F2" w14:textId="38CB80A6" w:rsidR="00FE41C9" w:rsidRPr="00751FEE" w:rsidRDefault="00FE41C9" w:rsidP="00751FEE">
      <w:pPr>
        <w:pStyle w:val="Heading3"/>
        <w:numPr>
          <w:ilvl w:val="0"/>
          <w:numId w:val="14"/>
        </w:numPr>
        <w:jc w:val="left"/>
        <w:rPr>
          <w:b w:val="0"/>
          <w:bCs w:val="0"/>
          <w:iCs/>
          <w:sz w:val="24"/>
          <w:szCs w:val="24"/>
        </w:rPr>
      </w:pPr>
      <w:r w:rsidRPr="00751FEE">
        <w:rPr>
          <w:b w:val="0"/>
          <w:bCs w:val="0"/>
          <w:iCs/>
          <w:sz w:val="24"/>
          <w:szCs w:val="24"/>
        </w:rPr>
        <w:t xml:space="preserve">The Council’s results in national surveys of users and carers of </w:t>
      </w:r>
      <w:r w:rsidR="00AE1FD2">
        <w:rPr>
          <w:b w:val="0"/>
          <w:bCs w:val="0"/>
          <w:iCs/>
          <w:sz w:val="24"/>
          <w:szCs w:val="24"/>
        </w:rPr>
        <w:t>citizens</w:t>
      </w:r>
      <w:r w:rsidRPr="00751FEE">
        <w:rPr>
          <w:b w:val="0"/>
          <w:bCs w:val="0"/>
          <w:iCs/>
          <w:sz w:val="24"/>
          <w:szCs w:val="24"/>
        </w:rPr>
        <w:t xml:space="preserve"> who use long term services indicate room for improvement in social care outcomes associated with quality of life, such as feeling in control of everyday life, social interaction, feeling safe etc. </w:t>
      </w:r>
      <w:r w:rsidR="00C15624" w:rsidRPr="00751FEE">
        <w:rPr>
          <w:b w:val="0"/>
          <w:bCs w:val="0"/>
          <w:iCs/>
          <w:sz w:val="24"/>
          <w:szCs w:val="24"/>
        </w:rPr>
        <w:t xml:space="preserve">It is expected </w:t>
      </w:r>
      <w:r w:rsidRPr="00751FEE">
        <w:rPr>
          <w:b w:val="0"/>
          <w:bCs w:val="0"/>
          <w:iCs/>
          <w:sz w:val="24"/>
          <w:szCs w:val="24"/>
        </w:rPr>
        <w:t xml:space="preserve">that extra care </w:t>
      </w:r>
      <w:r w:rsidR="00C15624" w:rsidRPr="00751FEE">
        <w:rPr>
          <w:b w:val="0"/>
          <w:bCs w:val="0"/>
          <w:iCs/>
          <w:sz w:val="24"/>
          <w:szCs w:val="24"/>
        </w:rPr>
        <w:t xml:space="preserve">will </w:t>
      </w:r>
      <w:r w:rsidR="00B20D8D" w:rsidRPr="00751FEE">
        <w:rPr>
          <w:b w:val="0"/>
          <w:bCs w:val="0"/>
          <w:iCs/>
          <w:sz w:val="24"/>
          <w:szCs w:val="24"/>
        </w:rPr>
        <w:t xml:space="preserve">improve </w:t>
      </w:r>
      <w:r w:rsidR="00C15624" w:rsidRPr="00751FEE">
        <w:rPr>
          <w:b w:val="0"/>
          <w:bCs w:val="0"/>
          <w:iCs/>
          <w:sz w:val="24"/>
          <w:szCs w:val="24"/>
        </w:rPr>
        <w:t>this indicator because it creates an alternative to residential</w:t>
      </w:r>
      <w:r w:rsidR="00B20D8D" w:rsidRPr="00751FEE">
        <w:rPr>
          <w:b w:val="0"/>
          <w:bCs w:val="0"/>
          <w:iCs/>
          <w:sz w:val="24"/>
          <w:szCs w:val="24"/>
        </w:rPr>
        <w:t xml:space="preserve"> services.</w:t>
      </w:r>
    </w:p>
    <w:p w14:paraId="7FD1FA49" w14:textId="5617ADBC" w:rsidR="00B20D8D" w:rsidRPr="00751FEE" w:rsidRDefault="00B20D8D" w:rsidP="00B20D8D">
      <w:pPr>
        <w:ind w:left="360"/>
        <w:rPr>
          <w:iCs/>
          <w:szCs w:val="24"/>
        </w:rPr>
      </w:pPr>
    </w:p>
    <w:p w14:paraId="4720C027" w14:textId="7BD94D27" w:rsidR="00751FEE" w:rsidRDefault="00C15624" w:rsidP="00751FEE">
      <w:pPr>
        <w:pStyle w:val="ListParagraph"/>
        <w:numPr>
          <w:ilvl w:val="0"/>
          <w:numId w:val="5"/>
        </w:numPr>
        <w:rPr>
          <w:iCs/>
        </w:rPr>
      </w:pPr>
      <w:r>
        <w:rPr>
          <w:iCs/>
        </w:rPr>
        <w:t xml:space="preserve">In the commissioning of the Care and Wellbeing service there is a requirement for the provider to have a minimum </w:t>
      </w:r>
      <w:r w:rsidR="000E10FF">
        <w:rPr>
          <w:iCs/>
        </w:rPr>
        <w:t xml:space="preserve">CQC rating </w:t>
      </w:r>
      <w:r>
        <w:rPr>
          <w:iCs/>
        </w:rPr>
        <w:t>of ‘Good’.</w:t>
      </w:r>
    </w:p>
    <w:p w14:paraId="4960826F" w14:textId="77777777" w:rsidR="00751FEE" w:rsidRDefault="00751FEE" w:rsidP="00751FEE">
      <w:pPr>
        <w:pStyle w:val="ListParagraph"/>
        <w:ind w:left="360"/>
        <w:rPr>
          <w:iCs/>
        </w:rPr>
      </w:pPr>
    </w:p>
    <w:p w14:paraId="7BC65EE6" w14:textId="0C773EE5" w:rsidR="00751FEE" w:rsidRDefault="00751FEE" w:rsidP="00751FEE">
      <w:pPr>
        <w:pStyle w:val="ListParagraph"/>
        <w:numPr>
          <w:ilvl w:val="0"/>
          <w:numId w:val="5"/>
        </w:numPr>
        <w:rPr>
          <w:iCs/>
        </w:rPr>
      </w:pPr>
      <w:r>
        <w:rPr>
          <w:iCs/>
        </w:rPr>
        <w:t xml:space="preserve">If the </w:t>
      </w:r>
      <w:r w:rsidRPr="00751FEE">
        <w:rPr>
          <w:iCs/>
        </w:rPr>
        <w:t xml:space="preserve">extra care strategy was not continued </w:t>
      </w:r>
      <w:r w:rsidR="000E10FF">
        <w:rPr>
          <w:iCs/>
        </w:rPr>
        <w:t xml:space="preserve">for </w:t>
      </w:r>
      <w:r w:rsidR="00AE1FD2">
        <w:rPr>
          <w:iCs/>
        </w:rPr>
        <w:t>citizens</w:t>
      </w:r>
      <w:r w:rsidRPr="00751FEE">
        <w:rPr>
          <w:iCs/>
        </w:rPr>
        <w:t xml:space="preserve"> who receive long term support services and their carers, a lack of extra care capacity will mean increased reliance on high levels of home care in the community and unavoidable admissions to residential care, which may impact on individuals’ outcomes.</w:t>
      </w:r>
    </w:p>
    <w:p w14:paraId="4AC652A6" w14:textId="77777777" w:rsidR="005D3471" w:rsidRPr="00B54AFA" w:rsidRDefault="005D3471" w:rsidP="001C7E35">
      <w:pPr>
        <w:tabs>
          <w:tab w:val="left" w:pos="7245"/>
        </w:tabs>
        <w:rPr>
          <w:i/>
          <w:color w:val="0000FF"/>
        </w:rPr>
      </w:pPr>
    </w:p>
    <w:p w14:paraId="64847511" w14:textId="6CB158CD" w:rsidR="00333FAA" w:rsidRPr="00C15624" w:rsidRDefault="00333FAA" w:rsidP="0054590F">
      <w:pPr>
        <w:pStyle w:val="Heading4"/>
        <w:rPr>
          <w:szCs w:val="24"/>
        </w:rPr>
      </w:pPr>
      <w:r w:rsidRPr="00C15624">
        <w:rPr>
          <w:szCs w:val="24"/>
        </w:rPr>
        <w:t>Environmental Implications</w:t>
      </w:r>
    </w:p>
    <w:p w14:paraId="6AA8A476" w14:textId="77777777" w:rsidR="00736A03" w:rsidRPr="00736A03" w:rsidRDefault="00736A03" w:rsidP="00736A03"/>
    <w:p w14:paraId="3B2545FE" w14:textId="01C9C312" w:rsidR="007C1987" w:rsidRDefault="007C1987" w:rsidP="00751FEE">
      <w:pPr>
        <w:pStyle w:val="ListParagraph"/>
        <w:numPr>
          <w:ilvl w:val="0"/>
          <w:numId w:val="5"/>
        </w:numPr>
      </w:pPr>
      <w:r>
        <w:t xml:space="preserve">Under Policy 5.2 of the current London Plan, all development is expected to achieve at least a 35% reduction in carbon emission through on-site measures.  Any remaining residential carbon </w:t>
      </w:r>
      <w:r w:rsidR="004632C3">
        <w:t>emissions</w:t>
      </w:r>
      <w:r>
        <w:t xml:space="preserve"> are to be offset by way of monetary contribution to ensure that the residential element of the development is zero carbon.</w:t>
      </w:r>
    </w:p>
    <w:p w14:paraId="344D3513" w14:textId="77777777" w:rsidR="004632C3" w:rsidRDefault="004632C3" w:rsidP="004632C3">
      <w:pPr>
        <w:pStyle w:val="ListParagraph"/>
        <w:ind w:left="644"/>
      </w:pPr>
    </w:p>
    <w:p w14:paraId="2F30A153" w14:textId="2C0DFE26" w:rsidR="007C1987" w:rsidRDefault="00CA7853" w:rsidP="00751FEE">
      <w:pPr>
        <w:pStyle w:val="ListParagraph"/>
        <w:numPr>
          <w:ilvl w:val="0"/>
          <w:numId w:val="5"/>
        </w:numPr>
      </w:pPr>
      <w:r>
        <w:t>T</w:t>
      </w:r>
      <w:r w:rsidR="007C1987">
        <w:t xml:space="preserve">he </w:t>
      </w:r>
      <w:r>
        <w:t xml:space="preserve">three </w:t>
      </w:r>
      <w:r w:rsidR="007C1987">
        <w:t>consented extra care schemes (Windridge Court</w:t>
      </w:r>
      <w:r>
        <w:t xml:space="preserve">, Wolstenholme </w:t>
      </w:r>
      <w:r w:rsidR="007C1987">
        <w:t xml:space="preserve">and Harrow View East) achieve at least a 35% reduction through </w:t>
      </w:r>
      <w:r w:rsidR="004632C3">
        <w:t>on-site</w:t>
      </w:r>
      <w:r w:rsidR="007C1987">
        <w:t xml:space="preserve"> measures.  The energy strategies for these schemes implement the </w:t>
      </w:r>
      <w:r w:rsidR="004632C3">
        <w:t>three-step</w:t>
      </w:r>
      <w:r w:rsidR="007C1987">
        <w:t xml:space="preserve"> energy hierarchy outlined in the London Plan, namely to:</w:t>
      </w:r>
    </w:p>
    <w:p w14:paraId="5E3F0D50" w14:textId="77777777" w:rsidR="004632C3" w:rsidRDefault="004632C3" w:rsidP="004632C3"/>
    <w:p w14:paraId="11B6BF08" w14:textId="5B990721" w:rsidR="007C1987" w:rsidRDefault="007C1987" w:rsidP="007C1987">
      <w:pPr>
        <w:pStyle w:val="ListParagraph"/>
        <w:numPr>
          <w:ilvl w:val="1"/>
          <w:numId w:val="5"/>
        </w:numPr>
      </w:pPr>
      <w:r>
        <w:t>‘Be Lean’ by reducing energy demand – achieved by way of enhanced building fabric performance for walls, floors, roofs, windows and air permeability;</w:t>
      </w:r>
    </w:p>
    <w:p w14:paraId="18B36C7C" w14:textId="65D0592F" w:rsidR="007C1987" w:rsidRDefault="007C1987" w:rsidP="007C1987">
      <w:pPr>
        <w:pStyle w:val="ListParagraph"/>
        <w:numPr>
          <w:ilvl w:val="1"/>
          <w:numId w:val="5"/>
        </w:numPr>
      </w:pPr>
      <w:r>
        <w:t xml:space="preserve">‘Be Clean’ by supplying energy efficiently – achieved by connection to a heat network currently under construction and/or by use of a </w:t>
      </w:r>
      <w:r>
        <w:lastRenderedPageBreak/>
        <w:t>Combined Heat and Power (CHP) engine, which produces both heat and electricity locally;</w:t>
      </w:r>
    </w:p>
    <w:p w14:paraId="04FA575D" w14:textId="48FD7668" w:rsidR="007C1987" w:rsidRDefault="007C1987" w:rsidP="007C1987">
      <w:pPr>
        <w:pStyle w:val="ListParagraph"/>
        <w:numPr>
          <w:ilvl w:val="1"/>
          <w:numId w:val="5"/>
        </w:numPr>
      </w:pPr>
      <w:r>
        <w:t>‘Be Green’ by using zero carbon technologies (i.e. renewable energy) – achieved by measures such as solar PV panels.</w:t>
      </w:r>
    </w:p>
    <w:p w14:paraId="3EB457BC" w14:textId="77777777" w:rsidR="004632C3" w:rsidRDefault="004632C3" w:rsidP="004632C3">
      <w:pPr>
        <w:pStyle w:val="ListParagraph"/>
        <w:ind w:left="1080"/>
      </w:pPr>
    </w:p>
    <w:p w14:paraId="6C21C331" w14:textId="7D7BDC0D" w:rsidR="007C1987" w:rsidRDefault="007C1987" w:rsidP="007C1987">
      <w:pPr>
        <w:pStyle w:val="ListParagraph"/>
        <w:numPr>
          <w:ilvl w:val="0"/>
          <w:numId w:val="5"/>
        </w:numPr>
      </w:pPr>
      <w:r>
        <w:t>Further active measures are proposed including lower energy light fittings, enhanced lighting controls, high efficiency boiler</w:t>
      </w:r>
      <w:r w:rsidR="009E0EF8">
        <w:t>s and control systems and a number of broader sustainability measures, including water efficiency.</w:t>
      </w:r>
    </w:p>
    <w:p w14:paraId="13B5D1F7" w14:textId="77777777" w:rsidR="007C1E88" w:rsidRDefault="007C1E88" w:rsidP="007C1E88">
      <w:pPr>
        <w:pStyle w:val="ListParagraph"/>
        <w:ind w:left="644"/>
      </w:pPr>
    </w:p>
    <w:p w14:paraId="64A55E6A" w14:textId="032B4610" w:rsidR="007C1E88" w:rsidRDefault="00CA7853" w:rsidP="007C1987">
      <w:pPr>
        <w:pStyle w:val="ListParagraph"/>
        <w:numPr>
          <w:ilvl w:val="0"/>
          <w:numId w:val="5"/>
        </w:numPr>
      </w:pPr>
      <w:r>
        <w:t>All three</w:t>
      </w:r>
      <w:r w:rsidR="007C1E88">
        <w:t xml:space="preserve"> schemes also provide a payment to offset any carbon reduction that is not achieved on-site.</w:t>
      </w:r>
    </w:p>
    <w:p w14:paraId="60B6438F" w14:textId="08FFB2A4" w:rsidR="00E47EAD" w:rsidRDefault="00E47EAD" w:rsidP="00E47EAD">
      <w:pPr>
        <w:rPr>
          <w:i/>
          <w:color w:val="FF0000"/>
        </w:rPr>
      </w:pPr>
    </w:p>
    <w:p w14:paraId="18F39D1D" w14:textId="77777777" w:rsidR="002A3FEF" w:rsidRPr="00C15624" w:rsidRDefault="002A3FEF" w:rsidP="002A3FEF">
      <w:pPr>
        <w:pStyle w:val="Heading4"/>
        <w:rPr>
          <w:szCs w:val="24"/>
        </w:rPr>
      </w:pPr>
      <w:r w:rsidRPr="00C15624">
        <w:rPr>
          <w:szCs w:val="24"/>
        </w:rPr>
        <w:t>Dat</w:t>
      </w:r>
      <w:r w:rsidR="00DE72CF" w:rsidRPr="00C15624">
        <w:rPr>
          <w:szCs w:val="24"/>
        </w:rPr>
        <w:t>a</w:t>
      </w:r>
      <w:r w:rsidRPr="00C15624">
        <w:rPr>
          <w:szCs w:val="24"/>
        </w:rPr>
        <w:t xml:space="preserve"> Protection Implications</w:t>
      </w:r>
    </w:p>
    <w:p w14:paraId="3ABBF7F2" w14:textId="77777777" w:rsidR="00736A03" w:rsidRDefault="00736A03" w:rsidP="000929A6">
      <w:pPr>
        <w:rPr>
          <w:color w:val="0000FF"/>
        </w:rPr>
      </w:pPr>
    </w:p>
    <w:p w14:paraId="10B99D49" w14:textId="37F12F9A" w:rsidR="000929A6" w:rsidRPr="00DB6E5F" w:rsidRDefault="00B664C3" w:rsidP="009E0EF8">
      <w:pPr>
        <w:pStyle w:val="ListParagraph"/>
        <w:numPr>
          <w:ilvl w:val="0"/>
          <w:numId w:val="5"/>
        </w:numPr>
        <w:rPr>
          <w:iCs/>
        </w:rPr>
      </w:pPr>
      <w:r w:rsidRPr="00DB6E5F">
        <w:t>None</w:t>
      </w:r>
    </w:p>
    <w:p w14:paraId="3BD3BB02" w14:textId="77777777" w:rsidR="00A81E19" w:rsidRPr="001472A8" w:rsidRDefault="00A81E19" w:rsidP="00E84B6B">
      <w:pPr>
        <w:pStyle w:val="Heading3"/>
        <w:spacing w:before="240" w:after="240"/>
      </w:pPr>
      <w:r w:rsidRPr="001472A8">
        <w:t>Risk Management Implications</w:t>
      </w:r>
    </w:p>
    <w:p w14:paraId="53626A7F" w14:textId="77777777" w:rsidR="00A81E19" w:rsidRDefault="00A81E19" w:rsidP="00A81E19">
      <w:pPr>
        <w:tabs>
          <w:tab w:val="left" w:pos="5610"/>
        </w:tabs>
        <w:ind w:right="81"/>
        <w:rPr>
          <w:rFonts w:cs="Arial"/>
          <w:szCs w:val="24"/>
          <w:lang w:val="en-US"/>
        </w:rPr>
      </w:pPr>
    </w:p>
    <w:p w14:paraId="019C75E3" w14:textId="7C87BEC1" w:rsidR="00A81E19" w:rsidRDefault="00A81E19" w:rsidP="00E84B6B">
      <w:pPr>
        <w:pStyle w:val="ListParagraph"/>
        <w:numPr>
          <w:ilvl w:val="0"/>
          <w:numId w:val="5"/>
        </w:numPr>
        <w:tabs>
          <w:tab w:val="left" w:pos="5610"/>
        </w:tabs>
        <w:ind w:right="81"/>
        <w:rPr>
          <w:rFonts w:cs="Arial"/>
          <w:szCs w:val="24"/>
          <w:lang w:val="en-US"/>
        </w:rPr>
      </w:pPr>
      <w:r w:rsidRPr="00E84B6B">
        <w:rPr>
          <w:rFonts w:cs="Arial"/>
          <w:szCs w:val="24"/>
          <w:lang w:val="en-US"/>
        </w:rPr>
        <w:t xml:space="preserve">Risk included on </w:t>
      </w:r>
      <w:r w:rsidR="007C1E88">
        <w:rPr>
          <w:rFonts w:cs="Arial"/>
          <w:szCs w:val="24"/>
          <w:lang w:val="en-US"/>
        </w:rPr>
        <w:t>D</w:t>
      </w:r>
      <w:r w:rsidRPr="00E84B6B">
        <w:rPr>
          <w:rFonts w:cs="Arial"/>
          <w:szCs w:val="24"/>
          <w:lang w:val="en-US"/>
        </w:rPr>
        <w:t xml:space="preserve">irectorate risk register?  </w:t>
      </w:r>
      <w:r w:rsidR="008B776E">
        <w:rPr>
          <w:rFonts w:cs="Arial"/>
          <w:szCs w:val="24"/>
          <w:lang w:val="en-US"/>
        </w:rPr>
        <w:t>No</w:t>
      </w:r>
    </w:p>
    <w:p w14:paraId="7F9E8C66" w14:textId="77777777" w:rsidR="00736A03" w:rsidRPr="00E84B6B" w:rsidRDefault="00736A03" w:rsidP="00736A03">
      <w:pPr>
        <w:pStyle w:val="ListParagraph"/>
        <w:tabs>
          <w:tab w:val="left" w:pos="5610"/>
        </w:tabs>
        <w:ind w:left="360" w:right="81"/>
        <w:rPr>
          <w:rFonts w:cs="Arial"/>
          <w:szCs w:val="24"/>
          <w:lang w:val="en-US"/>
        </w:rPr>
      </w:pPr>
    </w:p>
    <w:p w14:paraId="6A634095" w14:textId="4F9E9AF6" w:rsidR="00A81E19" w:rsidRPr="00E84B6B" w:rsidRDefault="00A81E19" w:rsidP="00E84B6B">
      <w:pPr>
        <w:pStyle w:val="ListParagraph"/>
        <w:numPr>
          <w:ilvl w:val="0"/>
          <w:numId w:val="5"/>
        </w:numPr>
        <w:ind w:right="141"/>
        <w:rPr>
          <w:rFonts w:cs="Arial"/>
          <w:szCs w:val="24"/>
          <w:lang w:val="en-US" w:eastAsia="en-GB"/>
        </w:rPr>
      </w:pPr>
      <w:r w:rsidRPr="00E84B6B">
        <w:rPr>
          <w:rFonts w:cs="Arial"/>
          <w:szCs w:val="24"/>
          <w:lang w:val="en-US" w:eastAsia="en-GB"/>
        </w:rPr>
        <w:t>Separate risk register in place?  Yes</w:t>
      </w:r>
    </w:p>
    <w:p w14:paraId="7CB17A07" w14:textId="77777777" w:rsidR="00A81E19" w:rsidRPr="006B7277" w:rsidRDefault="00A81E19" w:rsidP="00A81E19"/>
    <w:p w14:paraId="4ED61EAE" w14:textId="38D3CEBC" w:rsidR="00C010AA" w:rsidRPr="00C010AA" w:rsidRDefault="00C010AA" w:rsidP="00E84B6B">
      <w:pPr>
        <w:pStyle w:val="Heading3"/>
        <w:numPr>
          <w:ilvl w:val="0"/>
          <w:numId w:val="5"/>
        </w:numPr>
        <w:jc w:val="left"/>
        <w:rPr>
          <w:rFonts w:cs="Times New Roman"/>
          <w:b w:val="0"/>
          <w:bCs w:val="0"/>
          <w:sz w:val="24"/>
          <w:szCs w:val="20"/>
        </w:rPr>
      </w:pPr>
      <w:r w:rsidRPr="00C010AA">
        <w:rPr>
          <w:rFonts w:cs="Times New Roman"/>
          <w:b w:val="0"/>
          <w:bCs w:val="0"/>
          <w:sz w:val="24"/>
          <w:szCs w:val="20"/>
        </w:rPr>
        <w:t xml:space="preserve">The key risks to this </w:t>
      </w:r>
      <w:r>
        <w:rPr>
          <w:rFonts w:cs="Times New Roman"/>
          <w:b w:val="0"/>
          <w:bCs w:val="0"/>
          <w:sz w:val="24"/>
          <w:szCs w:val="20"/>
        </w:rPr>
        <w:t xml:space="preserve">phase of the Extra Care Strategy in procuring the </w:t>
      </w:r>
      <w:r w:rsidR="00B91897">
        <w:rPr>
          <w:rFonts w:cs="Times New Roman"/>
          <w:b w:val="0"/>
          <w:bCs w:val="0"/>
          <w:sz w:val="24"/>
          <w:szCs w:val="20"/>
        </w:rPr>
        <w:t xml:space="preserve">care and </w:t>
      </w:r>
      <w:r>
        <w:rPr>
          <w:rFonts w:cs="Times New Roman"/>
          <w:b w:val="0"/>
          <w:bCs w:val="0"/>
          <w:sz w:val="24"/>
          <w:szCs w:val="20"/>
        </w:rPr>
        <w:t xml:space="preserve">wellbeing </w:t>
      </w:r>
      <w:r w:rsidR="00B91897">
        <w:rPr>
          <w:rFonts w:cs="Times New Roman"/>
          <w:b w:val="0"/>
          <w:bCs w:val="0"/>
          <w:sz w:val="24"/>
          <w:szCs w:val="20"/>
        </w:rPr>
        <w:t xml:space="preserve">support </w:t>
      </w:r>
      <w:r>
        <w:rPr>
          <w:rFonts w:cs="Times New Roman"/>
          <w:b w:val="0"/>
          <w:bCs w:val="0"/>
          <w:sz w:val="24"/>
          <w:szCs w:val="20"/>
        </w:rPr>
        <w:t xml:space="preserve">service and establishing the new provision </w:t>
      </w:r>
      <w:r w:rsidRPr="00C010AA">
        <w:rPr>
          <w:rFonts w:cs="Times New Roman"/>
          <w:b w:val="0"/>
          <w:bCs w:val="0"/>
          <w:sz w:val="24"/>
          <w:szCs w:val="20"/>
        </w:rPr>
        <w:t xml:space="preserve">are: </w:t>
      </w:r>
    </w:p>
    <w:p w14:paraId="5A68B3E8" w14:textId="77777777" w:rsidR="00C010AA" w:rsidRDefault="00C010AA" w:rsidP="00C010AA">
      <w:pPr>
        <w:pStyle w:val="Heading3"/>
        <w:ind w:left="0" w:firstLine="0"/>
        <w:jc w:val="left"/>
        <w:rPr>
          <w:rFonts w:cs="Times New Roman"/>
          <w:b w:val="0"/>
          <w:bCs w:val="0"/>
          <w:sz w:val="24"/>
          <w:szCs w:val="20"/>
        </w:rPr>
      </w:pPr>
    </w:p>
    <w:p w14:paraId="1FAD26C9" w14:textId="0868A787" w:rsidR="00C010AA" w:rsidRDefault="00C010AA" w:rsidP="006B7277">
      <w:pPr>
        <w:pStyle w:val="Heading3"/>
        <w:numPr>
          <w:ilvl w:val="0"/>
          <w:numId w:val="14"/>
        </w:numPr>
        <w:jc w:val="left"/>
        <w:rPr>
          <w:rFonts w:cs="Times New Roman"/>
          <w:b w:val="0"/>
          <w:bCs w:val="0"/>
          <w:sz w:val="24"/>
          <w:szCs w:val="20"/>
        </w:rPr>
      </w:pPr>
      <w:r w:rsidRPr="00C010AA">
        <w:rPr>
          <w:rFonts w:cs="Times New Roman"/>
          <w:b w:val="0"/>
          <w:bCs w:val="0"/>
          <w:sz w:val="24"/>
          <w:szCs w:val="20"/>
        </w:rPr>
        <w:t xml:space="preserve">A lack of interest by providers to </w:t>
      </w:r>
      <w:r>
        <w:rPr>
          <w:rFonts w:cs="Times New Roman"/>
          <w:b w:val="0"/>
          <w:bCs w:val="0"/>
          <w:sz w:val="24"/>
          <w:szCs w:val="20"/>
        </w:rPr>
        <w:t>provide care and wellbeing services for the two facilit</w:t>
      </w:r>
      <w:r w:rsidR="006B7277">
        <w:rPr>
          <w:rFonts w:cs="Times New Roman"/>
          <w:b w:val="0"/>
          <w:bCs w:val="0"/>
          <w:sz w:val="24"/>
          <w:szCs w:val="20"/>
        </w:rPr>
        <w:t>i</w:t>
      </w:r>
      <w:r>
        <w:rPr>
          <w:rFonts w:cs="Times New Roman"/>
          <w:b w:val="0"/>
          <w:bCs w:val="0"/>
          <w:sz w:val="24"/>
          <w:szCs w:val="20"/>
        </w:rPr>
        <w:t>es</w:t>
      </w:r>
    </w:p>
    <w:p w14:paraId="6FC99E07" w14:textId="63FA3DB9" w:rsidR="00C010AA" w:rsidRDefault="00C010AA" w:rsidP="006B7277">
      <w:pPr>
        <w:pStyle w:val="Heading3"/>
        <w:numPr>
          <w:ilvl w:val="0"/>
          <w:numId w:val="14"/>
        </w:numPr>
        <w:jc w:val="left"/>
        <w:rPr>
          <w:rFonts w:cs="Times New Roman"/>
          <w:b w:val="0"/>
          <w:bCs w:val="0"/>
          <w:sz w:val="24"/>
          <w:szCs w:val="20"/>
        </w:rPr>
      </w:pPr>
      <w:r w:rsidRPr="00C010AA">
        <w:rPr>
          <w:rFonts w:cs="Times New Roman"/>
          <w:b w:val="0"/>
          <w:bCs w:val="0"/>
          <w:sz w:val="24"/>
          <w:szCs w:val="20"/>
        </w:rPr>
        <w:t xml:space="preserve">Unaffordable specification for </w:t>
      </w:r>
      <w:r w:rsidR="00B91897">
        <w:rPr>
          <w:rFonts w:cs="Times New Roman"/>
          <w:b w:val="0"/>
          <w:bCs w:val="0"/>
          <w:sz w:val="24"/>
          <w:szCs w:val="20"/>
        </w:rPr>
        <w:t xml:space="preserve">care and </w:t>
      </w:r>
      <w:r w:rsidRPr="00C010AA">
        <w:rPr>
          <w:rFonts w:cs="Times New Roman"/>
          <w:b w:val="0"/>
          <w:bCs w:val="0"/>
          <w:sz w:val="24"/>
          <w:szCs w:val="20"/>
        </w:rPr>
        <w:t xml:space="preserve">wellbeing </w:t>
      </w:r>
      <w:r w:rsidR="00B91897">
        <w:rPr>
          <w:rFonts w:cs="Times New Roman"/>
          <w:b w:val="0"/>
          <w:bCs w:val="0"/>
          <w:sz w:val="24"/>
          <w:szCs w:val="20"/>
        </w:rPr>
        <w:t xml:space="preserve">support </w:t>
      </w:r>
      <w:r w:rsidRPr="00C010AA">
        <w:rPr>
          <w:rFonts w:cs="Times New Roman"/>
          <w:b w:val="0"/>
          <w:bCs w:val="0"/>
          <w:sz w:val="24"/>
          <w:szCs w:val="20"/>
        </w:rPr>
        <w:t xml:space="preserve">services. </w:t>
      </w:r>
    </w:p>
    <w:p w14:paraId="1A84F854" w14:textId="643F69C5" w:rsidR="00C010AA" w:rsidRPr="00C010AA" w:rsidRDefault="00C010AA" w:rsidP="006B7277">
      <w:pPr>
        <w:pStyle w:val="Heading3"/>
        <w:numPr>
          <w:ilvl w:val="0"/>
          <w:numId w:val="14"/>
        </w:numPr>
        <w:jc w:val="left"/>
        <w:rPr>
          <w:rFonts w:cs="Times New Roman"/>
          <w:b w:val="0"/>
          <w:bCs w:val="0"/>
          <w:sz w:val="24"/>
          <w:szCs w:val="20"/>
        </w:rPr>
      </w:pPr>
      <w:r w:rsidRPr="00C010AA">
        <w:rPr>
          <w:rFonts w:cs="Times New Roman"/>
          <w:b w:val="0"/>
          <w:bCs w:val="0"/>
          <w:sz w:val="24"/>
          <w:szCs w:val="20"/>
        </w:rPr>
        <w:t xml:space="preserve">Prolonged period of voids impacting on financial modelling </w:t>
      </w:r>
    </w:p>
    <w:p w14:paraId="7A377E03" w14:textId="77777777" w:rsidR="00C010AA" w:rsidRPr="00C010AA" w:rsidRDefault="00C010AA" w:rsidP="00C010AA">
      <w:pPr>
        <w:pStyle w:val="Heading3"/>
        <w:ind w:left="0" w:firstLine="0"/>
        <w:jc w:val="left"/>
        <w:rPr>
          <w:rFonts w:cs="Times New Roman"/>
          <w:b w:val="0"/>
          <w:bCs w:val="0"/>
          <w:sz w:val="24"/>
          <w:szCs w:val="20"/>
        </w:rPr>
      </w:pPr>
      <w:r w:rsidRPr="00C010AA">
        <w:rPr>
          <w:rFonts w:cs="Times New Roman"/>
          <w:b w:val="0"/>
          <w:bCs w:val="0"/>
          <w:sz w:val="24"/>
          <w:szCs w:val="20"/>
        </w:rPr>
        <w:t xml:space="preserve"> </w:t>
      </w:r>
    </w:p>
    <w:p w14:paraId="3DEA2E94" w14:textId="31EFAE5A" w:rsidR="00C010AA" w:rsidRPr="00C010AA" w:rsidRDefault="00C010AA" w:rsidP="00E84B6B">
      <w:pPr>
        <w:pStyle w:val="Heading3"/>
        <w:numPr>
          <w:ilvl w:val="0"/>
          <w:numId w:val="5"/>
        </w:numPr>
        <w:jc w:val="left"/>
        <w:rPr>
          <w:rFonts w:cs="Times New Roman"/>
          <w:b w:val="0"/>
          <w:bCs w:val="0"/>
          <w:sz w:val="24"/>
          <w:szCs w:val="20"/>
        </w:rPr>
      </w:pPr>
      <w:r>
        <w:rPr>
          <w:rFonts w:cs="Times New Roman"/>
          <w:b w:val="0"/>
          <w:bCs w:val="0"/>
          <w:sz w:val="24"/>
          <w:szCs w:val="20"/>
        </w:rPr>
        <w:t>The mitigation action</w:t>
      </w:r>
      <w:r w:rsidR="006B7277">
        <w:rPr>
          <w:rFonts w:cs="Times New Roman"/>
          <w:b w:val="0"/>
          <w:bCs w:val="0"/>
          <w:sz w:val="24"/>
          <w:szCs w:val="20"/>
        </w:rPr>
        <w:t>s</w:t>
      </w:r>
      <w:r>
        <w:rPr>
          <w:rFonts w:cs="Times New Roman"/>
          <w:b w:val="0"/>
          <w:bCs w:val="0"/>
          <w:sz w:val="24"/>
          <w:szCs w:val="20"/>
        </w:rPr>
        <w:t xml:space="preserve"> undertaken are as follows:</w:t>
      </w:r>
    </w:p>
    <w:p w14:paraId="5C09B669" w14:textId="77777777" w:rsidR="00C010AA" w:rsidRPr="00C010AA" w:rsidRDefault="00C010AA" w:rsidP="00C010AA">
      <w:pPr>
        <w:pStyle w:val="Heading3"/>
        <w:ind w:left="0" w:firstLine="0"/>
        <w:jc w:val="left"/>
        <w:rPr>
          <w:rFonts w:cs="Times New Roman"/>
          <w:b w:val="0"/>
          <w:bCs w:val="0"/>
          <w:sz w:val="24"/>
          <w:szCs w:val="20"/>
        </w:rPr>
      </w:pPr>
      <w:r w:rsidRPr="00C010AA">
        <w:rPr>
          <w:rFonts w:cs="Times New Roman"/>
          <w:b w:val="0"/>
          <w:bCs w:val="0"/>
          <w:sz w:val="24"/>
          <w:szCs w:val="20"/>
        </w:rPr>
        <w:t xml:space="preserve"> </w:t>
      </w:r>
    </w:p>
    <w:p w14:paraId="49B1E61E" w14:textId="26FACCD3" w:rsidR="00C010AA" w:rsidRDefault="00C010AA" w:rsidP="006B7277">
      <w:pPr>
        <w:pStyle w:val="Heading3"/>
        <w:numPr>
          <w:ilvl w:val="0"/>
          <w:numId w:val="13"/>
        </w:numPr>
        <w:jc w:val="left"/>
        <w:rPr>
          <w:rFonts w:cs="Times New Roman"/>
          <w:b w:val="0"/>
          <w:bCs w:val="0"/>
          <w:sz w:val="24"/>
          <w:szCs w:val="20"/>
        </w:rPr>
      </w:pPr>
      <w:r w:rsidRPr="00C010AA">
        <w:rPr>
          <w:rFonts w:cs="Times New Roman"/>
          <w:b w:val="0"/>
          <w:bCs w:val="0"/>
          <w:sz w:val="24"/>
          <w:szCs w:val="20"/>
        </w:rPr>
        <w:t xml:space="preserve">Officers </w:t>
      </w:r>
      <w:r w:rsidR="00122EF7">
        <w:rPr>
          <w:rFonts w:cs="Times New Roman"/>
          <w:b w:val="0"/>
          <w:bCs w:val="0"/>
          <w:sz w:val="24"/>
          <w:szCs w:val="20"/>
        </w:rPr>
        <w:t>have engaged</w:t>
      </w:r>
      <w:r w:rsidRPr="00C010AA">
        <w:rPr>
          <w:rFonts w:cs="Times New Roman"/>
          <w:b w:val="0"/>
          <w:bCs w:val="0"/>
          <w:sz w:val="24"/>
          <w:szCs w:val="20"/>
        </w:rPr>
        <w:t xml:space="preserve"> wit</w:t>
      </w:r>
      <w:r w:rsidR="00122EF7">
        <w:rPr>
          <w:rFonts w:cs="Times New Roman"/>
          <w:b w:val="0"/>
          <w:bCs w:val="0"/>
          <w:sz w:val="24"/>
          <w:szCs w:val="20"/>
        </w:rPr>
        <w:t xml:space="preserve">h </w:t>
      </w:r>
      <w:r w:rsidRPr="00C010AA">
        <w:rPr>
          <w:rFonts w:cs="Times New Roman"/>
          <w:b w:val="0"/>
          <w:bCs w:val="0"/>
          <w:sz w:val="24"/>
          <w:szCs w:val="20"/>
        </w:rPr>
        <w:t xml:space="preserve">providers to promote and stimulate the market </w:t>
      </w:r>
      <w:r w:rsidR="00122EF7">
        <w:rPr>
          <w:rFonts w:cs="Times New Roman"/>
          <w:b w:val="0"/>
          <w:bCs w:val="0"/>
          <w:sz w:val="24"/>
          <w:szCs w:val="20"/>
        </w:rPr>
        <w:t xml:space="preserve">through a </w:t>
      </w:r>
      <w:r w:rsidR="006B7277">
        <w:rPr>
          <w:rFonts w:cs="Times New Roman"/>
          <w:b w:val="0"/>
          <w:bCs w:val="0"/>
          <w:sz w:val="24"/>
          <w:szCs w:val="20"/>
        </w:rPr>
        <w:t>P</w:t>
      </w:r>
      <w:r w:rsidR="00122EF7">
        <w:rPr>
          <w:rFonts w:cs="Times New Roman"/>
          <w:b w:val="0"/>
          <w:bCs w:val="0"/>
          <w:sz w:val="24"/>
          <w:szCs w:val="20"/>
        </w:rPr>
        <w:t xml:space="preserve">rior </w:t>
      </w:r>
      <w:r w:rsidR="006B7277">
        <w:rPr>
          <w:rFonts w:cs="Times New Roman"/>
          <w:b w:val="0"/>
          <w:bCs w:val="0"/>
          <w:sz w:val="24"/>
          <w:szCs w:val="20"/>
        </w:rPr>
        <w:t>I</w:t>
      </w:r>
      <w:r w:rsidR="00122EF7">
        <w:rPr>
          <w:rFonts w:cs="Times New Roman"/>
          <w:b w:val="0"/>
          <w:bCs w:val="0"/>
          <w:sz w:val="24"/>
          <w:szCs w:val="20"/>
        </w:rPr>
        <w:t xml:space="preserve">nformation </w:t>
      </w:r>
      <w:r w:rsidR="006B7277">
        <w:rPr>
          <w:rFonts w:cs="Times New Roman"/>
          <w:b w:val="0"/>
          <w:bCs w:val="0"/>
          <w:sz w:val="24"/>
          <w:szCs w:val="20"/>
        </w:rPr>
        <w:t>N</w:t>
      </w:r>
      <w:r w:rsidR="00122EF7">
        <w:rPr>
          <w:rFonts w:cs="Times New Roman"/>
          <w:b w:val="0"/>
          <w:bCs w:val="0"/>
          <w:sz w:val="24"/>
          <w:szCs w:val="20"/>
        </w:rPr>
        <w:t xml:space="preserve">otice (PIN) </w:t>
      </w:r>
    </w:p>
    <w:p w14:paraId="59493B91" w14:textId="77777777" w:rsidR="006B7277" w:rsidRDefault="00C010AA" w:rsidP="006B7277">
      <w:pPr>
        <w:pStyle w:val="Heading3"/>
        <w:numPr>
          <w:ilvl w:val="0"/>
          <w:numId w:val="13"/>
        </w:numPr>
        <w:jc w:val="left"/>
        <w:rPr>
          <w:rFonts w:cs="Times New Roman"/>
          <w:b w:val="0"/>
          <w:bCs w:val="0"/>
          <w:sz w:val="24"/>
          <w:szCs w:val="20"/>
        </w:rPr>
      </w:pPr>
      <w:r w:rsidRPr="00C010AA">
        <w:rPr>
          <w:rFonts w:cs="Times New Roman"/>
          <w:b w:val="0"/>
          <w:bCs w:val="0"/>
          <w:sz w:val="24"/>
          <w:szCs w:val="20"/>
        </w:rPr>
        <w:t xml:space="preserve">The specification is being developed and procurement options are being considered and explored to secure best value for money. </w:t>
      </w:r>
    </w:p>
    <w:p w14:paraId="0CA1F43E" w14:textId="09A33E4F" w:rsidR="00C010AA" w:rsidRDefault="006B7277" w:rsidP="006B7277">
      <w:pPr>
        <w:pStyle w:val="Heading3"/>
        <w:numPr>
          <w:ilvl w:val="0"/>
          <w:numId w:val="13"/>
        </w:numPr>
        <w:jc w:val="left"/>
        <w:rPr>
          <w:rFonts w:cs="Times New Roman"/>
          <w:b w:val="0"/>
          <w:bCs w:val="0"/>
          <w:sz w:val="24"/>
          <w:szCs w:val="20"/>
        </w:rPr>
      </w:pPr>
      <w:r>
        <w:rPr>
          <w:rFonts w:cs="Times New Roman"/>
          <w:b w:val="0"/>
          <w:bCs w:val="0"/>
          <w:sz w:val="24"/>
          <w:szCs w:val="20"/>
        </w:rPr>
        <w:t>Through the ASC Panel o</w:t>
      </w:r>
      <w:r w:rsidRPr="00C010AA">
        <w:rPr>
          <w:rFonts w:cs="Times New Roman"/>
          <w:b w:val="0"/>
          <w:bCs w:val="0"/>
          <w:sz w:val="24"/>
          <w:szCs w:val="20"/>
        </w:rPr>
        <w:t xml:space="preserve">fficers are </w:t>
      </w:r>
      <w:r>
        <w:rPr>
          <w:rFonts w:cs="Times New Roman"/>
          <w:b w:val="0"/>
          <w:bCs w:val="0"/>
          <w:sz w:val="24"/>
          <w:szCs w:val="20"/>
        </w:rPr>
        <w:t xml:space="preserve">identifying potential citizens and </w:t>
      </w:r>
      <w:r w:rsidR="00C010AA" w:rsidRPr="00C010AA">
        <w:rPr>
          <w:rFonts w:cs="Times New Roman"/>
          <w:b w:val="0"/>
          <w:bCs w:val="0"/>
          <w:sz w:val="24"/>
          <w:szCs w:val="20"/>
        </w:rPr>
        <w:t xml:space="preserve">developing transition processes and planning for the citizens to take up placements within the </w:t>
      </w:r>
      <w:r w:rsidR="000A244B">
        <w:rPr>
          <w:rFonts w:cs="Times New Roman"/>
          <w:b w:val="0"/>
          <w:bCs w:val="0"/>
          <w:sz w:val="24"/>
          <w:szCs w:val="20"/>
        </w:rPr>
        <w:t xml:space="preserve">new </w:t>
      </w:r>
      <w:r w:rsidR="00C010AA" w:rsidRPr="00C010AA">
        <w:rPr>
          <w:rFonts w:cs="Times New Roman"/>
          <w:b w:val="0"/>
          <w:bCs w:val="0"/>
          <w:sz w:val="24"/>
          <w:szCs w:val="20"/>
        </w:rPr>
        <w:t>extra care provision</w:t>
      </w:r>
      <w:r w:rsidR="000A244B">
        <w:rPr>
          <w:rFonts w:cs="Times New Roman"/>
          <w:b w:val="0"/>
          <w:bCs w:val="0"/>
          <w:sz w:val="24"/>
          <w:szCs w:val="20"/>
        </w:rPr>
        <w:t xml:space="preserve"> (Windridge Court)</w:t>
      </w:r>
    </w:p>
    <w:p w14:paraId="00C1C8CA" w14:textId="77777777" w:rsidR="006B7277" w:rsidRDefault="006B7277" w:rsidP="006B7277">
      <w:pPr>
        <w:pStyle w:val="ListParagraph"/>
        <w:numPr>
          <w:ilvl w:val="0"/>
          <w:numId w:val="13"/>
        </w:numPr>
      </w:pPr>
      <w:r>
        <w:t>Staff training is being planned to ensure that there is knowledge and understanding about the provision</w:t>
      </w:r>
    </w:p>
    <w:p w14:paraId="76832475" w14:textId="2A90A199" w:rsidR="006B7277" w:rsidRPr="006B7277" w:rsidRDefault="006B7277" w:rsidP="006B7277">
      <w:pPr>
        <w:pStyle w:val="ListParagraph"/>
        <w:numPr>
          <w:ilvl w:val="0"/>
          <w:numId w:val="13"/>
        </w:numPr>
      </w:pPr>
      <w:r>
        <w:t>A communications strategy being implemented to promote the availability of extra care housing as an option available to citizens.</w:t>
      </w:r>
    </w:p>
    <w:p w14:paraId="1B85A0F7" w14:textId="77777777" w:rsidR="00CA7853" w:rsidRDefault="00CA7853">
      <w:pPr>
        <w:rPr>
          <w:rFonts w:cs="Arial"/>
          <w:b/>
          <w:bCs/>
          <w:sz w:val="28"/>
          <w:szCs w:val="28"/>
        </w:rPr>
      </w:pPr>
      <w:r>
        <w:br w:type="page"/>
      </w:r>
    </w:p>
    <w:p w14:paraId="3B68492E" w14:textId="2FDBBA44" w:rsidR="002A3FEF" w:rsidRDefault="002A3FEF" w:rsidP="00E84B6B">
      <w:pPr>
        <w:pStyle w:val="Heading3"/>
        <w:spacing w:before="240" w:after="240"/>
      </w:pPr>
      <w:r>
        <w:lastRenderedPageBreak/>
        <w:t xml:space="preserve">Procurement Implications </w:t>
      </w:r>
    </w:p>
    <w:p w14:paraId="2687144E" w14:textId="29465F9A" w:rsidR="00C17B6B" w:rsidRDefault="00C17B6B" w:rsidP="00E84B6B">
      <w:pPr>
        <w:pStyle w:val="Heading3"/>
        <w:numPr>
          <w:ilvl w:val="0"/>
          <w:numId w:val="5"/>
        </w:numPr>
        <w:jc w:val="left"/>
        <w:rPr>
          <w:rFonts w:cs="Times New Roman"/>
          <w:b w:val="0"/>
          <w:bCs w:val="0"/>
          <w:sz w:val="24"/>
          <w:szCs w:val="20"/>
        </w:rPr>
      </w:pPr>
      <w:r w:rsidRPr="00C17B6B">
        <w:rPr>
          <w:rFonts w:cs="Times New Roman"/>
          <w:b w:val="0"/>
          <w:bCs w:val="0"/>
          <w:sz w:val="24"/>
          <w:szCs w:val="20"/>
        </w:rPr>
        <w:t xml:space="preserve">There are two components to the delivery of the extra care schemes: the building and the </w:t>
      </w:r>
      <w:r w:rsidR="00B91897">
        <w:rPr>
          <w:rFonts w:cs="Times New Roman"/>
          <w:b w:val="0"/>
          <w:bCs w:val="0"/>
          <w:sz w:val="24"/>
          <w:szCs w:val="20"/>
        </w:rPr>
        <w:t xml:space="preserve">care and </w:t>
      </w:r>
      <w:r w:rsidRPr="00C17B6B">
        <w:rPr>
          <w:rFonts w:cs="Times New Roman"/>
          <w:b w:val="0"/>
          <w:bCs w:val="0"/>
          <w:sz w:val="24"/>
          <w:szCs w:val="20"/>
        </w:rPr>
        <w:t xml:space="preserve">wellbeing support service. These can be provided by separate providers or a single </w:t>
      </w:r>
      <w:r w:rsidR="000A244B">
        <w:rPr>
          <w:rFonts w:cs="Times New Roman"/>
          <w:b w:val="0"/>
          <w:bCs w:val="0"/>
          <w:sz w:val="24"/>
          <w:szCs w:val="20"/>
        </w:rPr>
        <w:t>organisation with separate housing and care support services</w:t>
      </w:r>
      <w:r w:rsidRPr="00C17B6B">
        <w:rPr>
          <w:rFonts w:cs="Times New Roman"/>
          <w:b w:val="0"/>
          <w:bCs w:val="0"/>
          <w:sz w:val="24"/>
          <w:szCs w:val="20"/>
        </w:rPr>
        <w:t xml:space="preserve">. </w:t>
      </w:r>
    </w:p>
    <w:p w14:paraId="329ADB97" w14:textId="77777777" w:rsidR="00C17B6B" w:rsidRPr="00C17B6B" w:rsidRDefault="00C17B6B" w:rsidP="00C17B6B"/>
    <w:p w14:paraId="4072CDBA" w14:textId="474481B1" w:rsidR="00C17B6B" w:rsidRDefault="00C17B6B" w:rsidP="00E84B6B">
      <w:pPr>
        <w:pStyle w:val="Heading3"/>
        <w:numPr>
          <w:ilvl w:val="0"/>
          <w:numId w:val="5"/>
        </w:numPr>
        <w:jc w:val="left"/>
        <w:rPr>
          <w:rFonts w:cs="Times New Roman"/>
          <w:b w:val="0"/>
          <w:bCs w:val="0"/>
          <w:sz w:val="24"/>
          <w:szCs w:val="20"/>
        </w:rPr>
      </w:pPr>
      <w:r>
        <w:rPr>
          <w:rFonts w:cs="Times New Roman"/>
          <w:b w:val="0"/>
          <w:bCs w:val="0"/>
          <w:sz w:val="24"/>
          <w:szCs w:val="20"/>
        </w:rPr>
        <w:t xml:space="preserve">The registered housing provider for the current scheme Ewart House and the new provision Windridge Court is Harrow Churches Housing Association (HCHA). </w:t>
      </w:r>
      <w:r w:rsidR="003D496D">
        <w:rPr>
          <w:rFonts w:cs="Times New Roman"/>
          <w:b w:val="0"/>
          <w:bCs w:val="0"/>
          <w:sz w:val="24"/>
          <w:szCs w:val="20"/>
        </w:rPr>
        <w:t>T</w:t>
      </w:r>
      <w:r>
        <w:rPr>
          <w:rFonts w:cs="Times New Roman"/>
          <w:b w:val="0"/>
          <w:bCs w:val="0"/>
          <w:sz w:val="24"/>
          <w:szCs w:val="20"/>
        </w:rPr>
        <w:t xml:space="preserve">he registered provider, HCHA </w:t>
      </w:r>
      <w:r w:rsidR="00911B4D">
        <w:rPr>
          <w:rFonts w:cs="Times New Roman"/>
          <w:b w:val="0"/>
          <w:bCs w:val="0"/>
          <w:sz w:val="24"/>
          <w:szCs w:val="20"/>
        </w:rPr>
        <w:t xml:space="preserve">issue the </w:t>
      </w:r>
      <w:r>
        <w:rPr>
          <w:rFonts w:cs="Times New Roman"/>
          <w:b w:val="0"/>
          <w:bCs w:val="0"/>
          <w:sz w:val="24"/>
          <w:szCs w:val="20"/>
        </w:rPr>
        <w:t xml:space="preserve">tenancy </w:t>
      </w:r>
      <w:r w:rsidR="00911B4D">
        <w:rPr>
          <w:rFonts w:cs="Times New Roman"/>
          <w:b w:val="0"/>
          <w:bCs w:val="0"/>
          <w:sz w:val="24"/>
          <w:szCs w:val="20"/>
        </w:rPr>
        <w:t xml:space="preserve">for the resident and </w:t>
      </w:r>
      <w:r>
        <w:rPr>
          <w:rFonts w:cs="Times New Roman"/>
          <w:b w:val="0"/>
          <w:bCs w:val="0"/>
          <w:sz w:val="24"/>
          <w:szCs w:val="20"/>
        </w:rPr>
        <w:t>provides a range of support and services to tenants to maintain their tenancy.</w:t>
      </w:r>
    </w:p>
    <w:p w14:paraId="5471E574" w14:textId="77777777" w:rsidR="00C17B6B" w:rsidRDefault="00C17B6B" w:rsidP="00C17B6B">
      <w:pPr>
        <w:pStyle w:val="Heading3"/>
        <w:ind w:left="0" w:firstLine="0"/>
        <w:jc w:val="left"/>
        <w:rPr>
          <w:rFonts w:cs="Times New Roman"/>
          <w:b w:val="0"/>
          <w:bCs w:val="0"/>
          <w:sz w:val="24"/>
          <w:szCs w:val="20"/>
        </w:rPr>
      </w:pPr>
    </w:p>
    <w:p w14:paraId="5D80CF4F" w14:textId="3F2F1231" w:rsidR="001C1F7D" w:rsidRDefault="00122EF7" w:rsidP="001C1F7D">
      <w:pPr>
        <w:pStyle w:val="Heading3"/>
        <w:numPr>
          <w:ilvl w:val="0"/>
          <w:numId w:val="5"/>
        </w:numPr>
        <w:jc w:val="left"/>
        <w:rPr>
          <w:rFonts w:cs="Times New Roman"/>
          <w:b w:val="0"/>
          <w:bCs w:val="0"/>
          <w:sz w:val="24"/>
          <w:szCs w:val="20"/>
        </w:rPr>
      </w:pPr>
      <w:r>
        <w:rPr>
          <w:rFonts w:cs="Times New Roman"/>
          <w:b w:val="0"/>
          <w:bCs w:val="0"/>
          <w:sz w:val="24"/>
          <w:szCs w:val="20"/>
        </w:rPr>
        <w:t xml:space="preserve">Harrow </w:t>
      </w:r>
      <w:r w:rsidR="00C17B6B" w:rsidRPr="00C17B6B">
        <w:rPr>
          <w:rFonts w:cs="Times New Roman"/>
          <w:b w:val="0"/>
          <w:bCs w:val="0"/>
          <w:sz w:val="24"/>
          <w:szCs w:val="20"/>
        </w:rPr>
        <w:t xml:space="preserve">Council currently commissions a </w:t>
      </w:r>
      <w:r w:rsidR="00B91897">
        <w:rPr>
          <w:rFonts w:cs="Times New Roman"/>
          <w:b w:val="0"/>
          <w:bCs w:val="0"/>
          <w:sz w:val="24"/>
          <w:szCs w:val="20"/>
        </w:rPr>
        <w:t xml:space="preserve">care and </w:t>
      </w:r>
      <w:r w:rsidR="00C17B6B" w:rsidRPr="00C17B6B">
        <w:rPr>
          <w:rFonts w:cs="Times New Roman"/>
          <w:b w:val="0"/>
          <w:bCs w:val="0"/>
          <w:sz w:val="24"/>
          <w:szCs w:val="20"/>
        </w:rPr>
        <w:t>wellbeing support provider for the existing extra care provision</w:t>
      </w:r>
      <w:r w:rsidR="001C1F7D">
        <w:rPr>
          <w:rFonts w:cs="Times New Roman"/>
          <w:b w:val="0"/>
          <w:bCs w:val="0"/>
          <w:sz w:val="24"/>
          <w:szCs w:val="20"/>
        </w:rPr>
        <w:t>, Ewart House</w:t>
      </w:r>
      <w:r w:rsidR="00C17B6B" w:rsidRPr="00C17B6B">
        <w:rPr>
          <w:rFonts w:cs="Times New Roman"/>
          <w:b w:val="0"/>
          <w:bCs w:val="0"/>
          <w:sz w:val="24"/>
          <w:szCs w:val="20"/>
        </w:rPr>
        <w:t xml:space="preserve">. </w:t>
      </w:r>
      <w:r w:rsidR="00911B4D">
        <w:rPr>
          <w:rFonts w:cs="Times New Roman"/>
          <w:b w:val="0"/>
          <w:bCs w:val="0"/>
          <w:sz w:val="24"/>
          <w:szCs w:val="20"/>
        </w:rPr>
        <w:t xml:space="preserve">The contract ends in </w:t>
      </w:r>
      <w:r>
        <w:rPr>
          <w:rFonts w:cs="Times New Roman"/>
          <w:b w:val="0"/>
          <w:bCs w:val="0"/>
          <w:sz w:val="24"/>
          <w:szCs w:val="20"/>
        </w:rPr>
        <w:t xml:space="preserve">May </w:t>
      </w:r>
      <w:r w:rsidR="00911B4D">
        <w:rPr>
          <w:rFonts w:cs="Times New Roman"/>
          <w:b w:val="0"/>
          <w:bCs w:val="0"/>
          <w:sz w:val="24"/>
          <w:szCs w:val="20"/>
        </w:rPr>
        <w:t xml:space="preserve">2021. </w:t>
      </w:r>
    </w:p>
    <w:p w14:paraId="0735C8CF" w14:textId="77777777" w:rsidR="001C1F7D" w:rsidRPr="001C1F7D" w:rsidRDefault="001C1F7D" w:rsidP="001C1F7D"/>
    <w:p w14:paraId="13749C52" w14:textId="7CE84695" w:rsidR="00C010AA" w:rsidRDefault="00122E20" w:rsidP="00E84B6B">
      <w:pPr>
        <w:pStyle w:val="Heading3"/>
        <w:numPr>
          <w:ilvl w:val="0"/>
          <w:numId w:val="5"/>
        </w:numPr>
        <w:jc w:val="left"/>
        <w:rPr>
          <w:rFonts w:cs="Times New Roman"/>
          <w:b w:val="0"/>
          <w:bCs w:val="0"/>
          <w:sz w:val="24"/>
          <w:szCs w:val="20"/>
        </w:rPr>
      </w:pPr>
      <w:r>
        <w:rPr>
          <w:rFonts w:cs="Times New Roman"/>
          <w:b w:val="0"/>
          <w:bCs w:val="0"/>
          <w:sz w:val="24"/>
          <w:szCs w:val="20"/>
        </w:rPr>
        <w:t>At this time it is anticipated that o</w:t>
      </w:r>
      <w:r w:rsidR="00911B4D">
        <w:rPr>
          <w:rFonts w:cs="Times New Roman"/>
          <w:b w:val="0"/>
          <w:bCs w:val="0"/>
          <w:sz w:val="24"/>
          <w:szCs w:val="20"/>
        </w:rPr>
        <w:t xml:space="preserve">fficers will undertake a procurement exercise to appoint a </w:t>
      </w:r>
      <w:r>
        <w:rPr>
          <w:rFonts w:cs="Times New Roman"/>
          <w:b w:val="0"/>
          <w:bCs w:val="0"/>
          <w:sz w:val="24"/>
          <w:szCs w:val="20"/>
        </w:rPr>
        <w:t xml:space="preserve">single </w:t>
      </w:r>
      <w:r w:rsidR="00911B4D">
        <w:rPr>
          <w:rFonts w:cs="Times New Roman"/>
          <w:b w:val="0"/>
          <w:bCs w:val="0"/>
          <w:sz w:val="24"/>
          <w:szCs w:val="20"/>
        </w:rPr>
        <w:t xml:space="preserve">provider for the care and wellbeing </w:t>
      </w:r>
      <w:r w:rsidR="00B91897">
        <w:rPr>
          <w:rFonts w:cs="Times New Roman"/>
          <w:b w:val="0"/>
          <w:bCs w:val="0"/>
          <w:sz w:val="24"/>
          <w:szCs w:val="20"/>
        </w:rPr>
        <w:t xml:space="preserve">support </w:t>
      </w:r>
      <w:r w:rsidR="00911B4D">
        <w:rPr>
          <w:rFonts w:cs="Times New Roman"/>
          <w:b w:val="0"/>
          <w:bCs w:val="0"/>
          <w:sz w:val="24"/>
          <w:szCs w:val="20"/>
        </w:rPr>
        <w:t>service</w:t>
      </w:r>
      <w:r w:rsidR="00C010AA">
        <w:rPr>
          <w:rFonts w:cs="Times New Roman"/>
          <w:b w:val="0"/>
          <w:bCs w:val="0"/>
          <w:sz w:val="24"/>
          <w:szCs w:val="20"/>
        </w:rPr>
        <w:t xml:space="preserve"> at both Windridge Court and Ewart House</w:t>
      </w:r>
      <w:r>
        <w:rPr>
          <w:rFonts w:cs="Times New Roman"/>
          <w:b w:val="0"/>
          <w:bCs w:val="0"/>
          <w:sz w:val="24"/>
          <w:szCs w:val="20"/>
        </w:rPr>
        <w:t xml:space="preserve"> including London Living Wage (LLW)</w:t>
      </w:r>
      <w:r w:rsidR="00B91897">
        <w:rPr>
          <w:rFonts w:cs="Times New Roman"/>
          <w:b w:val="0"/>
          <w:bCs w:val="0"/>
          <w:sz w:val="24"/>
          <w:szCs w:val="20"/>
        </w:rPr>
        <w:t>, a</w:t>
      </w:r>
      <w:r>
        <w:rPr>
          <w:rFonts w:cs="Times New Roman"/>
          <w:b w:val="0"/>
          <w:bCs w:val="0"/>
          <w:sz w:val="24"/>
          <w:szCs w:val="20"/>
        </w:rPr>
        <w:t>ny changes will be referred back to the delegations for agreement</w:t>
      </w:r>
      <w:r w:rsidR="00C010AA">
        <w:rPr>
          <w:rFonts w:cs="Times New Roman"/>
          <w:b w:val="0"/>
          <w:bCs w:val="0"/>
          <w:sz w:val="24"/>
          <w:szCs w:val="20"/>
        </w:rPr>
        <w:t>.</w:t>
      </w:r>
      <w:r w:rsidR="00911B4D">
        <w:rPr>
          <w:rFonts w:cs="Times New Roman"/>
          <w:b w:val="0"/>
          <w:bCs w:val="0"/>
          <w:sz w:val="24"/>
          <w:szCs w:val="20"/>
        </w:rPr>
        <w:t xml:space="preserve"> </w:t>
      </w:r>
      <w:r w:rsidR="00185ABC">
        <w:rPr>
          <w:rFonts w:cs="Times New Roman"/>
          <w:b w:val="0"/>
          <w:bCs w:val="0"/>
          <w:sz w:val="24"/>
          <w:szCs w:val="20"/>
        </w:rPr>
        <w:t>The procurement strategy will be agreed and either the Council will run a competitive process or agree another suitable procurement route to market.</w:t>
      </w:r>
    </w:p>
    <w:p w14:paraId="0B2EB2EB" w14:textId="272F49CB" w:rsidR="00C17B6B" w:rsidRPr="00C17B6B" w:rsidRDefault="00C17B6B" w:rsidP="00E84B6B">
      <w:pPr>
        <w:pStyle w:val="Heading3"/>
        <w:ind w:left="0" w:firstLine="68"/>
        <w:jc w:val="left"/>
        <w:rPr>
          <w:rFonts w:cs="Times New Roman"/>
          <w:b w:val="0"/>
          <w:bCs w:val="0"/>
          <w:sz w:val="24"/>
          <w:szCs w:val="20"/>
        </w:rPr>
      </w:pPr>
    </w:p>
    <w:p w14:paraId="6CB977FD" w14:textId="01F06564" w:rsidR="00C010AA" w:rsidRDefault="00C010AA" w:rsidP="00E84B6B">
      <w:pPr>
        <w:pStyle w:val="Heading3"/>
        <w:numPr>
          <w:ilvl w:val="0"/>
          <w:numId w:val="5"/>
        </w:numPr>
        <w:jc w:val="left"/>
        <w:rPr>
          <w:rFonts w:cs="Times New Roman"/>
          <w:b w:val="0"/>
          <w:bCs w:val="0"/>
          <w:sz w:val="24"/>
          <w:szCs w:val="20"/>
        </w:rPr>
      </w:pPr>
      <w:r>
        <w:rPr>
          <w:rFonts w:cs="Times New Roman"/>
          <w:b w:val="0"/>
          <w:bCs w:val="0"/>
          <w:sz w:val="24"/>
          <w:szCs w:val="20"/>
        </w:rPr>
        <w:t>An outline timeline for procurement is as follows:</w:t>
      </w:r>
    </w:p>
    <w:p w14:paraId="5F444BF3" w14:textId="77777777" w:rsidR="000A244B" w:rsidRPr="000A244B" w:rsidRDefault="000A244B" w:rsidP="000A244B"/>
    <w:p w14:paraId="4BF613D1" w14:textId="77777777" w:rsidR="006B7277" w:rsidRPr="006B7277" w:rsidRDefault="006B7277" w:rsidP="006B7277"/>
    <w:tbl>
      <w:tblPr>
        <w:tblStyle w:val="TableGrid"/>
        <w:tblW w:w="0" w:type="auto"/>
        <w:tblInd w:w="762" w:type="dxa"/>
        <w:tblLook w:val="04A0" w:firstRow="1" w:lastRow="0" w:firstColumn="1" w:lastColumn="0" w:noHBand="0" w:noVBand="1"/>
      </w:tblPr>
      <w:tblGrid>
        <w:gridCol w:w="4449"/>
        <w:gridCol w:w="3006"/>
      </w:tblGrid>
      <w:tr w:rsidR="00C010AA" w:rsidRPr="00C010AA" w14:paraId="50B798F1" w14:textId="77777777" w:rsidTr="000A244B">
        <w:tc>
          <w:tcPr>
            <w:tcW w:w="4449" w:type="dxa"/>
          </w:tcPr>
          <w:p w14:paraId="5B63376C" w14:textId="135476CA" w:rsidR="00C010AA" w:rsidRPr="00C010AA" w:rsidRDefault="00C010AA" w:rsidP="00C010AA">
            <w:pPr>
              <w:jc w:val="center"/>
              <w:rPr>
                <w:rFonts w:cs="Arial"/>
                <w:b/>
                <w:bCs/>
              </w:rPr>
            </w:pPr>
            <w:r w:rsidRPr="00C010AA">
              <w:rPr>
                <w:rFonts w:cs="Arial"/>
                <w:b/>
                <w:bCs/>
              </w:rPr>
              <w:t>Procurement Activity</w:t>
            </w:r>
          </w:p>
        </w:tc>
        <w:tc>
          <w:tcPr>
            <w:tcW w:w="3006" w:type="dxa"/>
          </w:tcPr>
          <w:p w14:paraId="085219E2" w14:textId="1E673ED7" w:rsidR="00C010AA" w:rsidRPr="00C010AA" w:rsidRDefault="00C010AA" w:rsidP="00C010AA">
            <w:pPr>
              <w:jc w:val="center"/>
              <w:rPr>
                <w:rFonts w:cs="Arial"/>
                <w:b/>
                <w:bCs/>
              </w:rPr>
            </w:pPr>
            <w:r w:rsidRPr="00C010AA">
              <w:rPr>
                <w:rFonts w:cs="Arial"/>
                <w:b/>
                <w:bCs/>
              </w:rPr>
              <w:t>Timeline</w:t>
            </w:r>
          </w:p>
        </w:tc>
      </w:tr>
      <w:tr w:rsidR="00C010AA" w14:paraId="28F6AF8A" w14:textId="77777777" w:rsidTr="000A244B">
        <w:tc>
          <w:tcPr>
            <w:tcW w:w="4449" w:type="dxa"/>
          </w:tcPr>
          <w:p w14:paraId="69BF827B" w14:textId="2D9C14BB" w:rsidR="00C010AA" w:rsidRDefault="00C010AA" w:rsidP="00C010AA">
            <w:pPr>
              <w:rPr>
                <w:rFonts w:cs="Arial"/>
              </w:rPr>
            </w:pPr>
            <w:r>
              <w:rPr>
                <w:rFonts w:cs="Arial"/>
              </w:rPr>
              <w:t xml:space="preserve">Commence Procurement </w:t>
            </w:r>
          </w:p>
        </w:tc>
        <w:tc>
          <w:tcPr>
            <w:tcW w:w="3006" w:type="dxa"/>
          </w:tcPr>
          <w:p w14:paraId="25FAFE33" w14:textId="2F197C24" w:rsidR="00C010AA" w:rsidRDefault="001C1F7D" w:rsidP="00C010AA">
            <w:pPr>
              <w:rPr>
                <w:rFonts w:cs="Arial"/>
              </w:rPr>
            </w:pPr>
            <w:r>
              <w:rPr>
                <w:rFonts w:cs="Arial"/>
              </w:rPr>
              <w:t>Mid-</w:t>
            </w:r>
            <w:r w:rsidR="00C010AA">
              <w:rPr>
                <w:rFonts w:cs="Arial"/>
              </w:rPr>
              <w:t>November</w:t>
            </w:r>
            <w:r w:rsidR="00185ABC">
              <w:rPr>
                <w:rFonts w:cs="Arial"/>
              </w:rPr>
              <w:t>/December</w:t>
            </w:r>
            <w:r w:rsidR="00C010AA">
              <w:rPr>
                <w:rFonts w:cs="Arial"/>
              </w:rPr>
              <w:t xml:space="preserve"> 2020</w:t>
            </w:r>
          </w:p>
        </w:tc>
      </w:tr>
      <w:tr w:rsidR="00C010AA" w14:paraId="46392313" w14:textId="77777777" w:rsidTr="000A244B">
        <w:tc>
          <w:tcPr>
            <w:tcW w:w="4449" w:type="dxa"/>
          </w:tcPr>
          <w:p w14:paraId="572F2515" w14:textId="57D4287E" w:rsidR="00C010AA" w:rsidRDefault="00C010AA" w:rsidP="00C010AA">
            <w:pPr>
              <w:rPr>
                <w:rFonts w:cs="Arial"/>
              </w:rPr>
            </w:pPr>
            <w:r>
              <w:rPr>
                <w:rFonts w:cs="Arial"/>
              </w:rPr>
              <w:t>OPEN Procedure (to be confirmed) Published on the London Tenders Portal (all tender documentation to be available)</w:t>
            </w:r>
          </w:p>
        </w:tc>
        <w:tc>
          <w:tcPr>
            <w:tcW w:w="3006" w:type="dxa"/>
          </w:tcPr>
          <w:p w14:paraId="1AB8FFC7" w14:textId="12E3FA7D" w:rsidR="00C010AA" w:rsidRDefault="001C1F7D" w:rsidP="00C010AA">
            <w:pPr>
              <w:rPr>
                <w:rFonts w:cs="Arial"/>
              </w:rPr>
            </w:pPr>
            <w:r>
              <w:rPr>
                <w:rFonts w:cs="Arial"/>
              </w:rPr>
              <w:t>Mid-</w:t>
            </w:r>
            <w:r w:rsidR="00C010AA">
              <w:rPr>
                <w:rFonts w:cs="Arial"/>
              </w:rPr>
              <w:t>November</w:t>
            </w:r>
            <w:r w:rsidR="00185ABC">
              <w:rPr>
                <w:rFonts w:cs="Arial"/>
              </w:rPr>
              <w:t xml:space="preserve">/December </w:t>
            </w:r>
            <w:r w:rsidR="00C010AA">
              <w:rPr>
                <w:rFonts w:cs="Arial"/>
              </w:rPr>
              <w:t>2020</w:t>
            </w:r>
          </w:p>
        </w:tc>
      </w:tr>
      <w:tr w:rsidR="00C010AA" w14:paraId="32E290DC" w14:textId="77777777" w:rsidTr="000A244B">
        <w:tc>
          <w:tcPr>
            <w:tcW w:w="4449" w:type="dxa"/>
          </w:tcPr>
          <w:p w14:paraId="732B174E" w14:textId="01224C75" w:rsidR="00C010AA" w:rsidRDefault="00C010AA" w:rsidP="00C010AA">
            <w:pPr>
              <w:rPr>
                <w:rFonts w:cs="Arial"/>
              </w:rPr>
            </w:pPr>
            <w:r>
              <w:rPr>
                <w:rFonts w:cs="Arial"/>
              </w:rPr>
              <w:t xml:space="preserve">Submission Deadline </w:t>
            </w:r>
          </w:p>
        </w:tc>
        <w:tc>
          <w:tcPr>
            <w:tcW w:w="3006" w:type="dxa"/>
          </w:tcPr>
          <w:p w14:paraId="19036912" w14:textId="0DE4F014" w:rsidR="00C010AA" w:rsidRDefault="00C010AA" w:rsidP="00C010AA">
            <w:pPr>
              <w:rPr>
                <w:rFonts w:cs="Arial"/>
              </w:rPr>
            </w:pPr>
            <w:r>
              <w:rPr>
                <w:rFonts w:cs="Arial"/>
              </w:rPr>
              <w:t>December 2020</w:t>
            </w:r>
            <w:r w:rsidR="00185ABC">
              <w:rPr>
                <w:rFonts w:cs="Arial"/>
              </w:rPr>
              <w:t>/January 2021</w:t>
            </w:r>
          </w:p>
        </w:tc>
      </w:tr>
      <w:tr w:rsidR="00C010AA" w14:paraId="16C1827F" w14:textId="77777777" w:rsidTr="000A244B">
        <w:tc>
          <w:tcPr>
            <w:tcW w:w="4449" w:type="dxa"/>
          </w:tcPr>
          <w:p w14:paraId="2DB8A575" w14:textId="1BDBE073" w:rsidR="00C010AA" w:rsidRDefault="00C010AA" w:rsidP="00C010AA">
            <w:pPr>
              <w:rPr>
                <w:rFonts w:cs="Arial"/>
              </w:rPr>
            </w:pPr>
            <w:r>
              <w:rPr>
                <w:rFonts w:cs="Arial"/>
              </w:rPr>
              <w:t xml:space="preserve">Tender Evaluation </w:t>
            </w:r>
          </w:p>
        </w:tc>
        <w:tc>
          <w:tcPr>
            <w:tcW w:w="3006" w:type="dxa"/>
          </w:tcPr>
          <w:p w14:paraId="38DC200A" w14:textId="56043261" w:rsidR="00C010AA" w:rsidRDefault="00185ABC" w:rsidP="00C010AA">
            <w:pPr>
              <w:rPr>
                <w:rFonts w:cs="Arial"/>
              </w:rPr>
            </w:pPr>
            <w:r>
              <w:rPr>
                <w:rFonts w:cs="Arial"/>
              </w:rPr>
              <w:t>January 2021</w:t>
            </w:r>
          </w:p>
          <w:p w14:paraId="6FC5EA7C" w14:textId="77777777" w:rsidR="00C010AA" w:rsidRDefault="00C010AA" w:rsidP="00C010AA">
            <w:pPr>
              <w:rPr>
                <w:rFonts w:cs="Arial"/>
              </w:rPr>
            </w:pPr>
            <w:r>
              <w:rPr>
                <w:rFonts w:cs="Arial"/>
              </w:rPr>
              <w:t>(2 weeks)</w:t>
            </w:r>
          </w:p>
        </w:tc>
      </w:tr>
      <w:tr w:rsidR="00C010AA" w14:paraId="6713BA26" w14:textId="77777777" w:rsidTr="000A244B">
        <w:tc>
          <w:tcPr>
            <w:tcW w:w="4449" w:type="dxa"/>
          </w:tcPr>
          <w:p w14:paraId="359B37D2" w14:textId="5D3E5B3E" w:rsidR="00C010AA" w:rsidRDefault="00C010AA" w:rsidP="00C010AA">
            <w:pPr>
              <w:rPr>
                <w:rFonts w:cs="Arial"/>
              </w:rPr>
            </w:pPr>
            <w:r>
              <w:rPr>
                <w:rFonts w:cs="Arial"/>
              </w:rPr>
              <w:t xml:space="preserve">Moderation </w:t>
            </w:r>
          </w:p>
        </w:tc>
        <w:tc>
          <w:tcPr>
            <w:tcW w:w="3006" w:type="dxa"/>
          </w:tcPr>
          <w:p w14:paraId="18B807E6" w14:textId="5803135E" w:rsidR="00C010AA" w:rsidRDefault="00C010AA" w:rsidP="00C010AA">
            <w:pPr>
              <w:rPr>
                <w:rFonts w:cs="Arial"/>
              </w:rPr>
            </w:pPr>
            <w:r>
              <w:rPr>
                <w:rFonts w:cs="Arial"/>
              </w:rPr>
              <w:t>2 days</w:t>
            </w:r>
          </w:p>
        </w:tc>
      </w:tr>
      <w:tr w:rsidR="00C010AA" w14:paraId="7ACB2123" w14:textId="77777777" w:rsidTr="000A244B">
        <w:tc>
          <w:tcPr>
            <w:tcW w:w="4449" w:type="dxa"/>
          </w:tcPr>
          <w:p w14:paraId="5A199577" w14:textId="3C3F3918" w:rsidR="00C010AA" w:rsidRDefault="00C010AA" w:rsidP="00C010AA">
            <w:pPr>
              <w:rPr>
                <w:rFonts w:cs="Arial"/>
              </w:rPr>
            </w:pPr>
            <w:r>
              <w:rPr>
                <w:rFonts w:cs="Arial"/>
              </w:rPr>
              <w:t>Internal Governance – Approval to award</w:t>
            </w:r>
          </w:p>
        </w:tc>
        <w:tc>
          <w:tcPr>
            <w:tcW w:w="3006" w:type="dxa"/>
          </w:tcPr>
          <w:p w14:paraId="7AD93B76" w14:textId="72992518" w:rsidR="00C010AA" w:rsidRDefault="00C010AA" w:rsidP="00C010AA">
            <w:pPr>
              <w:rPr>
                <w:rFonts w:cs="Arial"/>
              </w:rPr>
            </w:pPr>
            <w:r>
              <w:rPr>
                <w:rFonts w:cs="Arial"/>
              </w:rPr>
              <w:t>January 2021</w:t>
            </w:r>
          </w:p>
        </w:tc>
      </w:tr>
      <w:tr w:rsidR="00C010AA" w14:paraId="2737689A" w14:textId="77777777" w:rsidTr="000A244B">
        <w:tc>
          <w:tcPr>
            <w:tcW w:w="4449" w:type="dxa"/>
          </w:tcPr>
          <w:p w14:paraId="5C56B9F6" w14:textId="607E2E86" w:rsidR="00C010AA" w:rsidRDefault="00C010AA" w:rsidP="00C010AA">
            <w:pPr>
              <w:rPr>
                <w:rFonts w:cs="Arial"/>
              </w:rPr>
            </w:pPr>
            <w:r>
              <w:rPr>
                <w:rFonts w:cs="Arial"/>
              </w:rPr>
              <w:t>Award</w:t>
            </w:r>
          </w:p>
        </w:tc>
        <w:tc>
          <w:tcPr>
            <w:tcW w:w="3006" w:type="dxa"/>
          </w:tcPr>
          <w:p w14:paraId="5DC344E8" w14:textId="7A0D90F8" w:rsidR="00C010AA" w:rsidRDefault="00C010AA" w:rsidP="00C010AA">
            <w:pPr>
              <w:rPr>
                <w:rFonts w:cs="Arial"/>
              </w:rPr>
            </w:pPr>
            <w:r>
              <w:rPr>
                <w:rFonts w:cs="Arial"/>
              </w:rPr>
              <w:t>January 2021</w:t>
            </w:r>
          </w:p>
        </w:tc>
      </w:tr>
      <w:tr w:rsidR="00C010AA" w14:paraId="128A016A" w14:textId="77777777" w:rsidTr="000A244B">
        <w:tc>
          <w:tcPr>
            <w:tcW w:w="4449" w:type="dxa"/>
          </w:tcPr>
          <w:p w14:paraId="6859C593" w14:textId="63CBBE98" w:rsidR="00C010AA" w:rsidRDefault="00C010AA" w:rsidP="00C010AA">
            <w:pPr>
              <w:rPr>
                <w:rFonts w:cs="Arial"/>
              </w:rPr>
            </w:pPr>
            <w:r>
              <w:rPr>
                <w:rFonts w:cs="Arial"/>
              </w:rPr>
              <w:t>Mobilisation and Transitional Arrangements</w:t>
            </w:r>
          </w:p>
        </w:tc>
        <w:tc>
          <w:tcPr>
            <w:tcW w:w="3006" w:type="dxa"/>
          </w:tcPr>
          <w:p w14:paraId="13B49A24" w14:textId="0F570636" w:rsidR="00C010AA" w:rsidRDefault="00C010AA" w:rsidP="00C010AA">
            <w:pPr>
              <w:rPr>
                <w:rFonts w:cs="Arial"/>
              </w:rPr>
            </w:pPr>
            <w:r>
              <w:rPr>
                <w:rFonts w:cs="Arial"/>
              </w:rPr>
              <w:t xml:space="preserve">February – </w:t>
            </w:r>
            <w:r w:rsidR="00122EF7">
              <w:rPr>
                <w:rFonts w:cs="Arial"/>
              </w:rPr>
              <w:t xml:space="preserve">May 2021 (Ewart House) February - June 2021 (Windridge Court) </w:t>
            </w:r>
          </w:p>
        </w:tc>
      </w:tr>
    </w:tbl>
    <w:p w14:paraId="0095F56D" w14:textId="77777777" w:rsidR="006B7277" w:rsidRDefault="006B7277" w:rsidP="006B7277">
      <w:pPr>
        <w:pStyle w:val="Heading3"/>
        <w:ind w:left="0" w:firstLine="0"/>
        <w:jc w:val="left"/>
        <w:rPr>
          <w:rFonts w:cs="Times New Roman"/>
          <w:b w:val="0"/>
          <w:bCs w:val="0"/>
          <w:sz w:val="24"/>
          <w:szCs w:val="20"/>
        </w:rPr>
      </w:pPr>
    </w:p>
    <w:p w14:paraId="2B9CFDEF" w14:textId="7957A434" w:rsidR="00C17B6B" w:rsidRDefault="00C17B6B" w:rsidP="00E84B6B">
      <w:pPr>
        <w:pStyle w:val="Heading3"/>
        <w:numPr>
          <w:ilvl w:val="0"/>
          <w:numId w:val="5"/>
        </w:numPr>
        <w:jc w:val="left"/>
        <w:rPr>
          <w:rFonts w:cs="Times New Roman"/>
          <w:b w:val="0"/>
          <w:bCs w:val="0"/>
          <w:sz w:val="24"/>
          <w:szCs w:val="20"/>
        </w:rPr>
      </w:pPr>
      <w:r w:rsidRPr="00C17B6B">
        <w:rPr>
          <w:rFonts w:cs="Times New Roman"/>
          <w:b w:val="0"/>
          <w:bCs w:val="0"/>
          <w:sz w:val="24"/>
          <w:szCs w:val="20"/>
        </w:rPr>
        <w:t xml:space="preserve">The </w:t>
      </w:r>
      <w:r w:rsidR="000A244B" w:rsidRPr="00C17B6B">
        <w:rPr>
          <w:rFonts w:cs="Times New Roman"/>
          <w:b w:val="0"/>
          <w:bCs w:val="0"/>
          <w:sz w:val="24"/>
          <w:szCs w:val="20"/>
        </w:rPr>
        <w:t>top-level</w:t>
      </w:r>
      <w:r w:rsidRPr="00C17B6B">
        <w:rPr>
          <w:rFonts w:cs="Times New Roman"/>
          <w:b w:val="0"/>
          <w:bCs w:val="0"/>
          <w:sz w:val="24"/>
          <w:szCs w:val="20"/>
        </w:rPr>
        <w:t xml:space="preserve"> evaluation criteria will need to ensure that the services provide value for money and secure outcomes </w:t>
      </w:r>
      <w:r w:rsidR="001C1F7D">
        <w:rPr>
          <w:rFonts w:cs="Times New Roman"/>
          <w:b w:val="0"/>
          <w:bCs w:val="0"/>
          <w:sz w:val="24"/>
          <w:szCs w:val="20"/>
        </w:rPr>
        <w:t>for citizens</w:t>
      </w:r>
      <w:r w:rsidR="00C010AA">
        <w:rPr>
          <w:rFonts w:cs="Times New Roman"/>
          <w:b w:val="0"/>
          <w:bCs w:val="0"/>
          <w:sz w:val="24"/>
          <w:szCs w:val="20"/>
        </w:rPr>
        <w:t>.</w:t>
      </w:r>
    </w:p>
    <w:p w14:paraId="44E1A251" w14:textId="78D8AE20" w:rsidR="00333FAA" w:rsidRDefault="00333FAA" w:rsidP="00C17B6B">
      <w:pPr>
        <w:pStyle w:val="Heading3"/>
        <w:spacing w:before="480" w:after="240"/>
      </w:pPr>
      <w:r>
        <w:lastRenderedPageBreak/>
        <w:t>Legal Implications</w:t>
      </w:r>
    </w:p>
    <w:p w14:paraId="233DA6E1" w14:textId="0125D93B" w:rsidR="00C010AA" w:rsidRPr="00C010AA" w:rsidRDefault="00C010AA" w:rsidP="00E84B6B">
      <w:pPr>
        <w:pStyle w:val="Heading3"/>
        <w:numPr>
          <w:ilvl w:val="0"/>
          <w:numId w:val="5"/>
        </w:numPr>
        <w:jc w:val="left"/>
        <w:rPr>
          <w:rFonts w:cs="Times New Roman"/>
          <w:b w:val="0"/>
          <w:bCs w:val="0"/>
          <w:sz w:val="24"/>
          <w:szCs w:val="20"/>
        </w:rPr>
      </w:pPr>
      <w:r w:rsidRPr="00C010AA">
        <w:rPr>
          <w:rFonts w:cs="Times New Roman"/>
          <w:b w:val="0"/>
          <w:bCs w:val="0"/>
          <w:sz w:val="24"/>
          <w:szCs w:val="20"/>
        </w:rPr>
        <w:t>Under the Care Act 2014, local authorities are under a duty to carry out their care and support responsibilities with the aim of joining-up the services provided or other actions taken with those provided by the NHS and other health-related services (for example, housing or leisure services). This general requirement applies to all the local authority’s care and support functions for adults with needs for care and support and for carers</w:t>
      </w:r>
      <w:r>
        <w:rPr>
          <w:rFonts w:cs="Times New Roman"/>
          <w:b w:val="0"/>
          <w:bCs w:val="0"/>
          <w:sz w:val="24"/>
          <w:szCs w:val="20"/>
        </w:rPr>
        <w:t>.</w:t>
      </w:r>
      <w:r w:rsidR="001C1F7D">
        <w:rPr>
          <w:rFonts w:cs="Times New Roman"/>
          <w:b w:val="0"/>
          <w:bCs w:val="0"/>
          <w:sz w:val="24"/>
          <w:szCs w:val="20"/>
        </w:rPr>
        <w:t xml:space="preserve"> </w:t>
      </w:r>
      <w:r w:rsidRPr="00C010AA">
        <w:rPr>
          <w:rFonts w:cs="Times New Roman"/>
          <w:b w:val="0"/>
          <w:bCs w:val="0"/>
          <w:sz w:val="24"/>
          <w:szCs w:val="20"/>
        </w:rPr>
        <w:t xml:space="preserve">The duty applies where the local authority considers that the integration of services will: </w:t>
      </w:r>
    </w:p>
    <w:p w14:paraId="0F37C595" w14:textId="7A208344" w:rsidR="00C010AA" w:rsidRPr="00C010AA" w:rsidRDefault="00C010AA" w:rsidP="00E84B6B">
      <w:pPr>
        <w:pStyle w:val="Heading3"/>
        <w:ind w:left="0" w:firstLine="68"/>
        <w:jc w:val="left"/>
        <w:rPr>
          <w:rFonts w:cs="Times New Roman"/>
          <w:b w:val="0"/>
          <w:bCs w:val="0"/>
          <w:sz w:val="24"/>
          <w:szCs w:val="20"/>
        </w:rPr>
      </w:pPr>
    </w:p>
    <w:p w14:paraId="2862757C" w14:textId="6C9436F9" w:rsidR="00C010AA" w:rsidRDefault="00C010AA" w:rsidP="00C010AA">
      <w:pPr>
        <w:pStyle w:val="Heading3"/>
        <w:numPr>
          <w:ilvl w:val="0"/>
          <w:numId w:val="12"/>
        </w:numPr>
        <w:jc w:val="left"/>
        <w:rPr>
          <w:rFonts w:cs="Times New Roman"/>
          <w:b w:val="0"/>
          <w:bCs w:val="0"/>
          <w:sz w:val="24"/>
          <w:szCs w:val="20"/>
        </w:rPr>
      </w:pPr>
      <w:r w:rsidRPr="00C010AA">
        <w:rPr>
          <w:rFonts w:cs="Times New Roman"/>
          <w:b w:val="0"/>
          <w:bCs w:val="0"/>
          <w:sz w:val="24"/>
          <w:szCs w:val="20"/>
        </w:rPr>
        <w:t xml:space="preserve">promote the wellbeing of adults with care and support needs or of carers in its area </w:t>
      </w:r>
    </w:p>
    <w:p w14:paraId="1744CC3B" w14:textId="4F370932" w:rsidR="00C010AA" w:rsidRDefault="00C010AA" w:rsidP="00C010AA">
      <w:pPr>
        <w:pStyle w:val="Heading3"/>
        <w:numPr>
          <w:ilvl w:val="0"/>
          <w:numId w:val="12"/>
        </w:numPr>
        <w:jc w:val="left"/>
        <w:rPr>
          <w:rFonts w:cs="Times New Roman"/>
          <w:b w:val="0"/>
          <w:bCs w:val="0"/>
          <w:sz w:val="24"/>
          <w:szCs w:val="20"/>
        </w:rPr>
      </w:pPr>
      <w:r w:rsidRPr="00C010AA">
        <w:rPr>
          <w:rFonts w:cs="Times New Roman"/>
          <w:b w:val="0"/>
          <w:bCs w:val="0"/>
          <w:sz w:val="24"/>
          <w:szCs w:val="20"/>
        </w:rPr>
        <w:t xml:space="preserve">contribute to the prevention or delay of the development of needs of </w:t>
      </w:r>
      <w:r w:rsidR="00AE1FD2">
        <w:rPr>
          <w:rFonts w:cs="Times New Roman"/>
          <w:b w:val="0"/>
          <w:bCs w:val="0"/>
          <w:sz w:val="24"/>
          <w:szCs w:val="20"/>
        </w:rPr>
        <w:t>citizens</w:t>
      </w:r>
    </w:p>
    <w:p w14:paraId="66C0E6CC" w14:textId="2C687BFC" w:rsidR="00C010AA" w:rsidRDefault="00C010AA" w:rsidP="00C010AA">
      <w:pPr>
        <w:pStyle w:val="Heading3"/>
        <w:numPr>
          <w:ilvl w:val="0"/>
          <w:numId w:val="12"/>
        </w:numPr>
        <w:jc w:val="left"/>
        <w:rPr>
          <w:rFonts w:cs="Times New Roman"/>
          <w:b w:val="0"/>
          <w:bCs w:val="0"/>
          <w:sz w:val="24"/>
          <w:szCs w:val="20"/>
        </w:rPr>
      </w:pPr>
      <w:r w:rsidRPr="00C010AA">
        <w:rPr>
          <w:rFonts w:cs="Times New Roman"/>
          <w:b w:val="0"/>
          <w:bCs w:val="0"/>
          <w:sz w:val="24"/>
          <w:szCs w:val="20"/>
        </w:rPr>
        <w:t xml:space="preserve">improve the quality of care and support in the local authority’s area, including the outcomes that are achieved for local </w:t>
      </w:r>
      <w:r w:rsidR="00AE1FD2">
        <w:rPr>
          <w:rFonts w:cs="Times New Roman"/>
          <w:b w:val="0"/>
          <w:bCs w:val="0"/>
          <w:sz w:val="24"/>
          <w:szCs w:val="20"/>
        </w:rPr>
        <w:t>citizens</w:t>
      </w:r>
      <w:r w:rsidRPr="00C010AA">
        <w:rPr>
          <w:rFonts w:cs="Times New Roman"/>
          <w:b w:val="0"/>
          <w:bCs w:val="0"/>
          <w:sz w:val="24"/>
          <w:szCs w:val="20"/>
        </w:rPr>
        <w:t xml:space="preserve"> </w:t>
      </w:r>
    </w:p>
    <w:p w14:paraId="49CDC4F1" w14:textId="76092A43" w:rsidR="00AA0CB9" w:rsidRDefault="00AA0CB9" w:rsidP="00AA0CB9"/>
    <w:p w14:paraId="7E6352A5" w14:textId="77777777" w:rsidR="00D225BA" w:rsidRDefault="00D225BA" w:rsidP="00D225BA"/>
    <w:p w14:paraId="4366723C" w14:textId="77777777" w:rsidR="00D225BA" w:rsidRPr="00C3268D" w:rsidRDefault="00D225BA" w:rsidP="00D225BA">
      <w:pPr>
        <w:pStyle w:val="Heading3"/>
        <w:numPr>
          <w:ilvl w:val="0"/>
          <w:numId w:val="5"/>
        </w:numPr>
        <w:jc w:val="left"/>
        <w:rPr>
          <w:b w:val="0"/>
          <w:bCs w:val="0"/>
          <w:sz w:val="24"/>
          <w:szCs w:val="24"/>
        </w:rPr>
      </w:pPr>
      <w:r w:rsidRPr="00C3268D">
        <w:rPr>
          <w:b w:val="0"/>
          <w:bCs w:val="0"/>
          <w:sz w:val="24"/>
          <w:szCs w:val="24"/>
        </w:rPr>
        <w:t>Public Sector Equality Duty</w:t>
      </w:r>
    </w:p>
    <w:p w14:paraId="4C395006" w14:textId="77777777" w:rsidR="00D225BA" w:rsidRPr="00C3268D" w:rsidRDefault="00D225BA" w:rsidP="00D225BA">
      <w:pPr>
        <w:rPr>
          <w:szCs w:val="24"/>
        </w:rPr>
      </w:pPr>
    </w:p>
    <w:p w14:paraId="4DBFC30E" w14:textId="77777777" w:rsidR="00D225BA" w:rsidRPr="00C3268D" w:rsidRDefault="00D225BA" w:rsidP="00D225BA">
      <w:pPr>
        <w:pStyle w:val="Heading3"/>
        <w:numPr>
          <w:ilvl w:val="0"/>
          <w:numId w:val="5"/>
        </w:numPr>
        <w:jc w:val="left"/>
        <w:rPr>
          <w:sz w:val="24"/>
          <w:szCs w:val="24"/>
        </w:rPr>
      </w:pPr>
      <w:r w:rsidRPr="00C3268D">
        <w:rPr>
          <w:b w:val="0"/>
          <w:bCs w:val="0"/>
          <w:sz w:val="24"/>
          <w:szCs w:val="24"/>
        </w:rPr>
        <w:t>The public sector equality duty is set out in s149 of the Equality Act 2010.  A public authority must, in the exercise of its functions, have due regard to the need to:</w:t>
      </w:r>
    </w:p>
    <w:p w14:paraId="50AAD7DC" w14:textId="77777777" w:rsidR="00D225BA" w:rsidRPr="00C3268D" w:rsidRDefault="00D225BA" w:rsidP="00D225BA"/>
    <w:p w14:paraId="452802B7" w14:textId="77777777" w:rsidR="00D225BA" w:rsidRPr="000302FC" w:rsidRDefault="00D225BA" w:rsidP="00D225BA">
      <w:pPr>
        <w:pStyle w:val="ListParagraph"/>
        <w:numPr>
          <w:ilvl w:val="1"/>
          <w:numId w:val="5"/>
        </w:numPr>
        <w:rPr>
          <w:szCs w:val="24"/>
        </w:rPr>
      </w:pPr>
      <w:r w:rsidRPr="000302FC">
        <w:rPr>
          <w:szCs w:val="24"/>
        </w:rPr>
        <w:t xml:space="preserve">Eliminate discrimination, harassment, victimisation and any other conduct that is prohibited by or under this Act; </w:t>
      </w:r>
    </w:p>
    <w:p w14:paraId="2AFD009F" w14:textId="77777777" w:rsidR="00D225BA" w:rsidRPr="000302FC" w:rsidRDefault="00D225BA" w:rsidP="00D225BA">
      <w:pPr>
        <w:pStyle w:val="ListParagraph"/>
        <w:numPr>
          <w:ilvl w:val="1"/>
          <w:numId w:val="5"/>
        </w:numPr>
        <w:rPr>
          <w:szCs w:val="24"/>
        </w:rPr>
      </w:pPr>
      <w:r w:rsidRPr="000302FC">
        <w:rPr>
          <w:szCs w:val="24"/>
        </w:rPr>
        <w:t xml:space="preserve">Advance equality of opportunity between persons who share a relevant protected characteristic and persons who do not share it; and </w:t>
      </w:r>
    </w:p>
    <w:p w14:paraId="470D9AF2" w14:textId="77777777" w:rsidR="00D225BA" w:rsidRPr="000302FC" w:rsidRDefault="00D225BA" w:rsidP="00D225BA">
      <w:pPr>
        <w:pStyle w:val="ListParagraph"/>
        <w:numPr>
          <w:ilvl w:val="1"/>
          <w:numId w:val="5"/>
        </w:numPr>
        <w:rPr>
          <w:szCs w:val="24"/>
        </w:rPr>
      </w:pPr>
      <w:r w:rsidRPr="000302FC">
        <w:rPr>
          <w:szCs w:val="24"/>
        </w:rPr>
        <w:t xml:space="preserve">Foster good relations between persons who share a relevant protected characteristic and persons who do not share it. </w:t>
      </w:r>
    </w:p>
    <w:p w14:paraId="6FFDFED1" w14:textId="77777777" w:rsidR="00D225BA" w:rsidRDefault="00D225BA" w:rsidP="00D225BA">
      <w:pPr>
        <w:pStyle w:val="Heading3"/>
        <w:ind w:firstLine="0"/>
        <w:jc w:val="left"/>
        <w:rPr>
          <w:b w:val="0"/>
          <w:bCs w:val="0"/>
          <w:sz w:val="24"/>
          <w:szCs w:val="24"/>
        </w:rPr>
      </w:pPr>
    </w:p>
    <w:p w14:paraId="7E258E02" w14:textId="77777777" w:rsidR="00D225BA" w:rsidRDefault="00D225BA" w:rsidP="00D225BA">
      <w:pPr>
        <w:pStyle w:val="Heading3"/>
        <w:numPr>
          <w:ilvl w:val="0"/>
          <w:numId w:val="5"/>
        </w:numPr>
        <w:jc w:val="left"/>
        <w:rPr>
          <w:b w:val="0"/>
          <w:bCs w:val="0"/>
          <w:sz w:val="24"/>
          <w:szCs w:val="24"/>
        </w:rPr>
      </w:pPr>
      <w:r w:rsidRPr="00C3268D">
        <w:rPr>
          <w:b w:val="0"/>
          <w:bCs w:val="0"/>
          <w:sz w:val="24"/>
          <w:szCs w:val="24"/>
        </w:rPr>
        <w:t xml:space="preserve">Having due regard to the need to advance equality of opportunity between persons who share a relevant protected characteristic and persons who do not share it involves having due regard, in particular, to the need to: </w:t>
      </w:r>
    </w:p>
    <w:p w14:paraId="01C5ED20" w14:textId="77777777" w:rsidR="00D225BA" w:rsidRPr="00C3268D" w:rsidRDefault="00D225BA" w:rsidP="00D225BA"/>
    <w:p w14:paraId="2126849F" w14:textId="77777777" w:rsidR="00D225BA" w:rsidRPr="000302FC" w:rsidRDefault="00D225BA" w:rsidP="00D225BA">
      <w:pPr>
        <w:pStyle w:val="ListParagraph"/>
        <w:numPr>
          <w:ilvl w:val="1"/>
          <w:numId w:val="5"/>
        </w:numPr>
        <w:rPr>
          <w:szCs w:val="24"/>
        </w:rPr>
      </w:pPr>
      <w:r w:rsidRPr="000302FC">
        <w:rPr>
          <w:szCs w:val="24"/>
        </w:rPr>
        <w:t xml:space="preserve">Remove or minimise disadvantages suffered by persons who share a relevant protected characteristic that are connected to that characteristic; </w:t>
      </w:r>
    </w:p>
    <w:p w14:paraId="5DBA90BE" w14:textId="77777777" w:rsidR="00D225BA" w:rsidRPr="000302FC" w:rsidRDefault="00D225BA" w:rsidP="00D225BA">
      <w:pPr>
        <w:pStyle w:val="ListParagraph"/>
        <w:numPr>
          <w:ilvl w:val="1"/>
          <w:numId w:val="5"/>
        </w:numPr>
        <w:rPr>
          <w:szCs w:val="24"/>
        </w:rPr>
      </w:pPr>
      <w:r w:rsidRPr="000302FC">
        <w:rPr>
          <w:szCs w:val="24"/>
        </w:rPr>
        <w:t xml:space="preserve">Take steps to meet the needs of persons who share a relevant protected characteristic that are different from the needs of persons who do not share it; and </w:t>
      </w:r>
    </w:p>
    <w:p w14:paraId="594FB6B8" w14:textId="77777777" w:rsidR="00D225BA" w:rsidRPr="000302FC" w:rsidRDefault="00D225BA" w:rsidP="00D225BA">
      <w:pPr>
        <w:pStyle w:val="ListParagraph"/>
        <w:numPr>
          <w:ilvl w:val="1"/>
          <w:numId w:val="5"/>
        </w:numPr>
        <w:rPr>
          <w:szCs w:val="24"/>
        </w:rPr>
      </w:pPr>
      <w:r w:rsidRPr="000302FC">
        <w:rPr>
          <w:szCs w:val="24"/>
        </w:rPr>
        <w:t>Encourage persons who share a relevant protected characteristic to participate in public life or in any other activity in which participation by such persons is disproportionately low</w:t>
      </w:r>
    </w:p>
    <w:p w14:paraId="493F97CA" w14:textId="6FAD7EEA" w:rsidR="00D225BA" w:rsidRDefault="00D225BA" w:rsidP="00D225BA">
      <w:pPr>
        <w:pStyle w:val="Heading3"/>
        <w:jc w:val="left"/>
        <w:rPr>
          <w:b w:val="0"/>
          <w:bCs w:val="0"/>
          <w:sz w:val="24"/>
          <w:szCs w:val="24"/>
        </w:rPr>
      </w:pPr>
    </w:p>
    <w:p w14:paraId="58A74EF0" w14:textId="30911782" w:rsidR="00AA0CB9" w:rsidRDefault="00AA0CB9" w:rsidP="00AA0CB9">
      <w:pPr>
        <w:pStyle w:val="Heading3"/>
        <w:numPr>
          <w:ilvl w:val="0"/>
          <w:numId w:val="5"/>
        </w:numPr>
        <w:jc w:val="left"/>
        <w:rPr>
          <w:b w:val="0"/>
          <w:bCs w:val="0"/>
          <w:sz w:val="24"/>
          <w:szCs w:val="24"/>
        </w:rPr>
      </w:pPr>
      <w:r>
        <w:rPr>
          <w:b w:val="0"/>
          <w:bCs w:val="0"/>
          <w:sz w:val="24"/>
          <w:szCs w:val="24"/>
        </w:rPr>
        <w:t xml:space="preserve">Any procurement exercise to be undertaken will be subject to and conducted in accordance with the Public Contracts Regulations 2015 (PCR) and the Council’s Contract Procedure Rules.  The procurement </w:t>
      </w:r>
      <w:r>
        <w:rPr>
          <w:b w:val="0"/>
          <w:bCs w:val="0"/>
          <w:sz w:val="24"/>
          <w:szCs w:val="24"/>
        </w:rPr>
        <w:lastRenderedPageBreak/>
        <w:t>exercise will also be subject to the EU Treaty principles of equal treatment, fairness and non-discrimination.</w:t>
      </w:r>
    </w:p>
    <w:p w14:paraId="3512C063" w14:textId="2B6B5907" w:rsidR="00AA0CB9" w:rsidRDefault="00AA0CB9" w:rsidP="00AA0CB9"/>
    <w:p w14:paraId="50432AD2" w14:textId="2F668668" w:rsidR="00AA0CB9" w:rsidRPr="00AA0CB9" w:rsidRDefault="00AA0CB9" w:rsidP="00AA0CB9">
      <w:pPr>
        <w:pStyle w:val="Heading3"/>
        <w:numPr>
          <w:ilvl w:val="0"/>
          <w:numId w:val="5"/>
        </w:numPr>
        <w:jc w:val="left"/>
      </w:pPr>
      <w:r>
        <w:rPr>
          <w:b w:val="0"/>
          <w:bCs w:val="0"/>
          <w:sz w:val="24"/>
          <w:szCs w:val="24"/>
        </w:rPr>
        <w:t>The Council’s Legal Services, HB Public Law will be instructed to advise on the tendering process and completion of the contracts for the services to be procured and awarded under this report.</w:t>
      </w:r>
    </w:p>
    <w:p w14:paraId="38A70A6D" w14:textId="6FC1BC99" w:rsidR="00CB5D65" w:rsidRDefault="00333FAA" w:rsidP="00620F87">
      <w:pPr>
        <w:pStyle w:val="Heading3"/>
        <w:spacing w:before="480" w:after="240"/>
      </w:pPr>
      <w:r>
        <w:t>Financial Implications</w:t>
      </w:r>
    </w:p>
    <w:p w14:paraId="2C79BCE0" w14:textId="3A0FCFD2" w:rsidR="00AC266C" w:rsidRPr="00CB5D65" w:rsidRDefault="00AC266C" w:rsidP="00AC266C">
      <w:pPr>
        <w:pStyle w:val="Heading3"/>
        <w:numPr>
          <w:ilvl w:val="0"/>
          <w:numId w:val="5"/>
        </w:numPr>
        <w:ind w:left="360"/>
        <w:jc w:val="left"/>
        <w:rPr>
          <w:b w:val="0"/>
          <w:bCs w:val="0"/>
          <w:sz w:val="24"/>
          <w:szCs w:val="24"/>
        </w:rPr>
      </w:pPr>
      <w:r w:rsidRPr="00CB5D65">
        <w:rPr>
          <w:rFonts w:cs="Times New Roman"/>
          <w:b w:val="0"/>
          <w:bCs w:val="0"/>
          <w:sz w:val="24"/>
          <w:szCs w:val="20"/>
        </w:rPr>
        <w:t>The</w:t>
      </w:r>
      <w:r w:rsidRPr="00CB5D65">
        <w:t xml:space="preserve"> </w:t>
      </w:r>
      <w:r w:rsidRPr="00CB5D65">
        <w:rPr>
          <w:b w:val="0"/>
          <w:bCs w:val="0"/>
          <w:sz w:val="24"/>
          <w:szCs w:val="24"/>
        </w:rPr>
        <w:t>current costs of residential care reflect both accommodation and care costs.  The extra care model effectively separates costs</w:t>
      </w:r>
      <w:r>
        <w:rPr>
          <w:b w:val="0"/>
          <w:bCs w:val="0"/>
          <w:sz w:val="24"/>
          <w:szCs w:val="24"/>
        </w:rPr>
        <w:t xml:space="preserve">, </w:t>
      </w:r>
      <w:r w:rsidRPr="00CB5D65">
        <w:rPr>
          <w:b w:val="0"/>
          <w:bCs w:val="0"/>
          <w:sz w:val="24"/>
          <w:szCs w:val="24"/>
        </w:rPr>
        <w:t xml:space="preserve">with the accommodation costs being funded by the resident (generally through rental and service charge payments to the accommodation provider) and the costs of care being provided by the Council, for eligible service users, through the procurement of </w:t>
      </w:r>
      <w:r>
        <w:rPr>
          <w:b w:val="0"/>
          <w:bCs w:val="0"/>
          <w:sz w:val="24"/>
          <w:szCs w:val="24"/>
        </w:rPr>
        <w:t xml:space="preserve">the </w:t>
      </w:r>
      <w:r w:rsidRPr="00CB5D65">
        <w:rPr>
          <w:b w:val="0"/>
          <w:bCs w:val="0"/>
          <w:sz w:val="24"/>
          <w:szCs w:val="24"/>
        </w:rPr>
        <w:t>care</w:t>
      </w:r>
      <w:r>
        <w:rPr>
          <w:b w:val="0"/>
          <w:bCs w:val="0"/>
          <w:sz w:val="24"/>
          <w:szCs w:val="24"/>
        </w:rPr>
        <w:t xml:space="preserve"> and wellbeing service</w:t>
      </w:r>
      <w:r w:rsidRPr="00CB5D65">
        <w:rPr>
          <w:b w:val="0"/>
          <w:bCs w:val="0"/>
          <w:sz w:val="24"/>
          <w:szCs w:val="24"/>
        </w:rPr>
        <w:t xml:space="preserve"> provider. </w:t>
      </w:r>
    </w:p>
    <w:p w14:paraId="554FA2D5" w14:textId="77777777" w:rsidR="00AC266C" w:rsidRPr="006501EB" w:rsidRDefault="00AC266C" w:rsidP="00AC266C">
      <w:pPr>
        <w:pStyle w:val="Heading3"/>
        <w:ind w:left="360" w:firstLine="0"/>
        <w:jc w:val="left"/>
      </w:pPr>
    </w:p>
    <w:p w14:paraId="6B26ADD4" w14:textId="01AC931E" w:rsidR="00AC266C" w:rsidRPr="00CB5D65" w:rsidRDefault="00AC266C" w:rsidP="00AC266C">
      <w:pPr>
        <w:pStyle w:val="Heading3"/>
        <w:numPr>
          <w:ilvl w:val="0"/>
          <w:numId w:val="5"/>
        </w:numPr>
        <w:ind w:left="360"/>
        <w:jc w:val="left"/>
      </w:pPr>
      <w:r w:rsidRPr="005D5D5F">
        <w:rPr>
          <w:b w:val="0"/>
          <w:bCs w:val="0"/>
          <w:sz w:val="24"/>
          <w:szCs w:val="24"/>
        </w:rPr>
        <w:t>At 29</w:t>
      </w:r>
      <w:r w:rsidRPr="005D5D5F">
        <w:rPr>
          <w:b w:val="0"/>
          <w:bCs w:val="0"/>
          <w:sz w:val="24"/>
          <w:szCs w:val="24"/>
          <w:vertAlign w:val="superscript"/>
        </w:rPr>
        <w:t>th</w:t>
      </w:r>
      <w:r w:rsidRPr="005D5D5F">
        <w:rPr>
          <w:b w:val="0"/>
          <w:bCs w:val="0"/>
          <w:sz w:val="24"/>
          <w:szCs w:val="24"/>
        </w:rPr>
        <w:t xml:space="preserve"> September 2020 (excluding Learning Disabled and </w:t>
      </w:r>
      <w:proofErr w:type="spellStart"/>
      <w:r w:rsidRPr="005D5D5F">
        <w:rPr>
          <w:b w:val="0"/>
          <w:bCs w:val="0"/>
          <w:sz w:val="24"/>
          <w:szCs w:val="24"/>
        </w:rPr>
        <w:t>Sancroft</w:t>
      </w:r>
      <w:proofErr w:type="spellEnd"/>
      <w:r w:rsidRPr="005D5D5F">
        <w:rPr>
          <w:b w:val="0"/>
          <w:bCs w:val="0"/>
          <w:sz w:val="24"/>
          <w:szCs w:val="24"/>
        </w:rPr>
        <w:t xml:space="preserve"> placements) there were 196 residential placements (181 of which were over 65 years of age).   The full year cost of these placements totals approximately £8m </w:t>
      </w:r>
      <w:r w:rsidR="00F14948">
        <w:rPr>
          <w:b w:val="0"/>
          <w:bCs w:val="0"/>
          <w:sz w:val="24"/>
          <w:szCs w:val="24"/>
        </w:rPr>
        <w:t>and client contributions reduce the cost</w:t>
      </w:r>
      <w:r w:rsidRPr="005D5D5F">
        <w:rPr>
          <w:b w:val="0"/>
          <w:bCs w:val="0"/>
          <w:sz w:val="24"/>
          <w:szCs w:val="24"/>
        </w:rPr>
        <w:t xml:space="preserve"> to the Council </w:t>
      </w:r>
      <w:r w:rsidR="00F14948">
        <w:rPr>
          <w:b w:val="0"/>
          <w:bCs w:val="0"/>
          <w:sz w:val="24"/>
          <w:szCs w:val="24"/>
        </w:rPr>
        <w:t>to</w:t>
      </w:r>
      <w:r w:rsidRPr="005D5D5F">
        <w:rPr>
          <w:b w:val="0"/>
          <w:bCs w:val="0"/>
          <w:sz w:val="24"/>
          <w:szCs w:val="24"/>
        </w:rPr>
        <w:t xml:space="preserve"> £6.5m. </w:t>
      </w:r>
    </w:p>
    <w:p w14:paraId="45E77FCC" w14:textId="77777777" w:rsidR="00AC266C" w:rsidRPr="00CB5D65" w:rsidRDefault="00AC266C" w:rsidP="00AC266C">
      <w:pPr>
        <w:autoSpaceDE w:val="0"/>
        <w:autoSpaceDN w:val="0"/>
        <w:adjustRightInd w:val="0"/>
      </w:pPr>
      <w:r w:rsidRPr="00CB5D65">
        <w:t xml:space="preserve"> </w:t>
      </w:r>
    </w:p>
    <w:p w14:paraId="5D1E9098" w14:textId="77777777" w:rsidR="00AC266C" w:rsidRDefault="00AC266C" w:rsidP="00AC266C">
      <w:pPr>
        <w:pStyle w:val="Heading3"/>
        <w:numPr>
          <w:ilvl w:val="0"/>
          <w:numId w:val="5"/>
        </w:numPr>
        <w:ind w:left="360"/>
        <w:jc w:val="left"/>
        <w:rPr>
          <w:b w:val="0"/>
          <w:bCs w:val="0"/>
          <w:sz w:val="24"/>
          <w:szCs w:val="24"/>
        </w:rPr>
      </w:pPr>
      <w:r w:rsidRPr="00CB5D65">
        <w:rPr>
          <w:b w:val="0"/>
          <w:bCs w:val="0"/>
          <w:sz w:val="24"/>
          <w:szCs w:val="24"/>
        </w:rPr>
        <w:t xml:space="preserve">The </w:t>
      </w:r>
      <w:r>
        <w:rPr>
          <w:b w:val="0"/>
          <w:bCs w:val="0"/>
          <w:sz w:val="24"/>
          <w:szCs w:val="24"/>
        </w:rPr>
        <w:t xml:space="preserve">aim of the </w:t>
      </w:r>
      <w:r w:rsidRPr="00CB5D65">
        <w:rPr>
          <w:b w:val="0"/>
          <w:bCs w:val="0"/>
          <w:sz w:val="24"/>
          <w:szCs w:val="24"/>
        </w:rPr>
        <w:t>implementation of the extra care strategy is to reduce, over time, the number of residential placements</w:t>
      </w:r>
      <w:r>
        <w:rPr>
          <w:b w:val="0"/>
          <w:bCs w:val="0"/>
          <w:sz w:val="24"/>
          <w:szCs w:val="24"/>
        </w:rPr>
        <w:t>, an approach which seeks to balance the need for appropriate care provision, within available financial resources.</w:t>
      </w:r>
    </w:p>
    <w:p w14:paraId="789E0F1A" w14:textId="77777777" w:rsidR="00AC266C" w:rsidRPr="00474A44" w:rsidRDefault="00AC266C" w:rsidP="00AC266C">
      <w:pPr>
        <w:pStyle w:val="Heading3"/>
        <w:ind w:left="360" w:firstLine="0"/>
        <w:jc w:val="left"/>
        <w:rPr>
          <w:b w:val="0"/>
          <w:bCs w:val="0"/>
          <w:sz w:val="24"/>
          <w:szCs w:val="24"/>
        </w:rPr>
      </w:pPr>
    </w:p>
    <w:p w14:paraId="62B64A42" w14:textId="77777777" w:rsidR="00AC266C" w:rsidRDefault="00AC266C" w:rsidP="00AC266C">
      <w:pPr>
        <w:pStyle w:val="Heading3"/>
        <w:numPr>
          <w:ilvl w:val="0"/>
          <w:numId w:val="5"/>
        </w:numPr>
        <w:autoSpaceDE w:val="0"/>
        <w:autoSpaceDN w:val="0"/>
        <w:adjustRightInd w:val="0"/>
        <w:ind w:left="360"/>
        <w:jc w:val="left"/>
        <w:rPr>
          <w:b w:val="0"/>
          <w:bCs w:val="0"/>
          <w:sz w:val="24"/>
          <w:szCs w:val="24"/>
        </w:rPr>
      </w:pPr>
      <w:r w:rsidRPr="006501EB">
        <w:rPr>
          <w:b w:val="0"/>
          <w:bCs w:val="0"/>
          <w:sz w:val="24"/>
          <w:szCs w:val="24"/>
        </w:rPr>
        <w:t>Windridge Court will have 56 beds.  The annual requirement for the care hours in the extra care setting is estimated to be in the region of between 45,000 to 60,000</w:t>
      </w:r>
      <w:r w:rsidRPr="00CB5D65">
        <w:rPr>
          <w:rStyle w:val="FootnoteReference"/>
          <w:b w:val="0"/>
          <w:bCs w:val="0"/>
          <w:sz w:val="24"/>
          <w:szCs w:val="24"/>
        </w:rPr>
        <w:footnoteReference w:id="1"/>
      </w:r>
      <w:r w:rsidRPr="006501EB">
        <w:rPr>
          <w:b w:val="0"/>
          <w:bCs w:val="0"/>
          <w:sz w:val="24"/>
          <w:szCs w:val="24"/>
        </w:rPr>
        <w:t xml:space="preserve"> care hours.  </w:t>
      </w:r>
      <w:r w:rsidRPr="005D5D5F">
        <w:rPr>
          <w:b w:val="0"/>
          <w:bCs w:val="0"/>
          <w:sz w:val="24"/>
          <w:szCs w:val="24"/>
        </w:rPr>
        <w:t>However, t</w:t>
      </w:r>
      <w:r w:rsidRPr="006501EB">
        <w:rPr>
          <w:b w:val="0"/>
          <w:bCs w:val="0"/>
          <w:sz w:val="24"/>
          <w:szCs w:val="24"/>
        </w:rPr>
        <w:t xml:space="preserve">he contract is not expected to guarantee hours of care, so that the Council will only pay for assessed care hours as required, rather than 24hr costed care for residential placements.  </w:t>
      </w:r>
    </w:p>
    <w:p w14:paraId="064BC2E3" w14:textId="77777777" w:rsidR="00AC266C" w:rsidRDefault="00AC266C" w:rsidP="00AC266C"/>
    <w:p w14:paraId="23802A13" w14:textId="77777777" w:rsidR="00AC266C" w:rsidRDefault="00AC266C" w:rsidP="00AC266C">
      <w:pPr>
        <w:pStyle w:val="Heading3"/>
        <w:numPr>
          <w:ilvl w:val="0"/>
          <w:numId w:val="5"/>
        </w:numPr>
        <w:ind w:left="360"/>
        <w:jc w:val="left"/>
        <w:rPr>
          <w:b w:val="0"/>
          <w:bCs w:val="0"/>
          <w:sz w:val="24"/>
          <w:szCs w:val="24"/>
        </w:rPr>
      </w:pPr>
      <w:r w:rsidRPr="00CB5D65">
        <w:rPr>
          <w:b w:val="0"/>
          <w:bCs w:val="0"/>
          <w:sz w:val="24"/>
          <w:szCs w:val="24"/>
        </w:rPr>
        <w:t>Home care is currently commissioned in 30</w:t>
      </w:r>
      <w:r>
        <w:rPr>
          <w:b w:val="0"/>
          <w:bCs w:val="0"/>
          <w:sz w:val="24"/>
          <w:szCs w:val="24"/>
        </w:rPr>
        <w:t xml:space="preserve"> </w:t>
      </w:r>
      <w:r w:rsidRPr="00CB5D65">
        <w:rPr>
          <w:b w:val="0"/>
          <w:bCs w:val="0"/>
          <w:sz w:val="24"/>
          <w:szCs w:val="24"/>
        </w:rPr>
        <w:t>min</w:t>
      </w:r>
      <w:r>
        <w:rPr>
          <w:b w:val="0"/>
          <w:bCs w:val="0"/>
          <w:sz w:val="24"/>
          <w:szCs w:val="24"/>
        </w:rPr>
        <w:t>ute</w:t>
      </w:r>
      <w:r w:rsidRPr="00CB5D65">
        <w:rPr>
          <w:b w:val="0"/>
          <w:bCs w:val="0"/>
          <w:sz w:val="24"/>
          <w:szCs w:val="24"/>
        </w:rPr>
        <w:t xml:space="preserve"> blocks in the community, however it is expected that care can be provided more flexibly in the extra care setting given the availability of on-site staff </w:t>
      </w:r>
      <w:proofErr w:type="spellStart"/>
      <w:r w:rsidRPr="00CB5D65">
        <w:rPr>
          <w:b w:val="0"/>
          <w:bCs w:val="0"/>
          <w:sz w:val="24"/>
          <w:szCs w:val="24"/>
        </w:rPr>
        <w:t>ie</w:t>
      </w:r>
      <w:proofErr w:type="spellEnd"/>
      <w:r w:rsidRPr="00CB5D65">
        <w:rPr>
          <w:b w:val="0"/>
          <w:bCs w:val="0"/>
          <w:sz w:val="24"/>
          <w:szCs w:val="24"/>
        </w:rPr>
        <w:t xml:space="preserve">; actual time to administer medicines rather than the minimum charge out cost.  This should enable </w:t>
      </w:r>
      <w:r>
        <w:rPr>
          <w:b w:val="0"/>
          <w:bCs w:val="0"/>
          <w:sz w:val="24"/>
          <w:szCs w:val="24"/>
        </w:rPr>
        <w:t>the provider to deliver the care planned hours more efficiently and to provide a cost effective solution</w:t>
      </w:r>
      <w:r w:rsidRPr="00CB5D65">
        <w:rPr>
          <w:b w:val="0"/>
          <w:bCs w:val="0"/>
          <w:sz w:val="24"/>
          <w:szCs w:val="24"/>
        </w:rPr>
        <w:t>.</w:t>
      </w:r>
    </w:p>
    <w:p w14:paraId="06DAE9CE" w14:textId="77777777" w:rsidR="00AC266C" w:rsidRDefault="00AC266C" w:rsidP="00AC266C">
      <w:pPr>
        <w:pStyle w:val="Heading3"/>
        <w:autoSpaceDE w:val="0"/>
        <w:autoSpaceDN w:val="0"/>
        <w:adjustRightInd w:val="0"/>
        <w:ind w:left="0" w:firstLine="0"/>
        <w:jc w:val="left"/>
        <w:rPr>
          <w:b w:val="0"/>
          <w:bCs w:val="0"/>
          <w:sz w:val="24"/>
          <w:szCs w:val="24"/>
        </w:rPr>
      </w:pPr>
    </w:p>
    <w:p w14:paraId="17484194" w14:textId="54948C09" w:rsidR="00AC266C" w:rsidRPr="00A957D7" w:rsidRDefault="00AC266C" w:rsidP="00AC266C">
      <w:pPr>
        <w:pStyle w:val="Heading3"/>
        <w:numPr>
          <w:ilvl w:val="0"/>
          <w:numId w:val="5"/>
        </w:numPr>
        <w:autoSpaceDE w:val="0"/>
        <w:autoSpaceDN w:val="0"/>
        <w:adjustRightInd w:val="0"/>
        <w:ind w:left="360"/>
        <w:jc w:val="left"/>
        <w:rPr>
          <w:b w:val="0"/>
          <w:bCs w:val="0"/>
          <w:sz w:val="24"/>
          <w:szCs w:val="24"/>
        </w:rPr>
      </w:pPr>
      <w:r>
        <w:rPr>
          <w:b w:val="0"/>
          <w:bCs w:val="0"/>
          <w:sz w:val="24"/>
          <w:szCs w:val="24"/>
        </w:rPr>
        <w:t>The procurement process will determine the rate for this type of care and the impact on the adults budget assessed before the contract is awarded.</w:t>
      </w:r>
    </w:p>
    <w:p w14:paraId="4A089804" w14:textId="77777777" w:rsidR="00AC266C" w:rsidRPr="007169F6" w:rsidRDefault="00AC266C" w:rsidP="00AC266C">
      <w:pPr>
        <w:pStyle w:val="Heading3"/>
        <w:ind w:left="360" w:firstLine="0"/>
        <w:jc w:val="left"/>
        <w:rPr>
          <w:b w:val="0"/>
          <w:bCs w:val="0"/>
          <w:sz w:val="24"/>
          <w:szCs w:val="24"/>
        </w:rPr>
      </w:pPr>
    </w:p>
    <w:p w14:paraId="6FA452FF" w14:textId="6C4FCD2D" w:rsidR="0082176F" w:rsidRPr="0082176F" w:rsidRDefault="00AC266C" w:rsidP="0082176F">
      <w:pPr>
        <w:pStyle w:val="Heading3"/>
        <w:numPr>
          <w:ilvl w:val="0"/>
          <w:numId w:val="5"/>
        </w:numPr>
        <w:ind w:left="360"/>
        <w:jc w:val="left"/>
      </w:pPr>
      <w:r w:rsidRPr="00F1576D">
        <w:rPr>
          <w:b w:val="0"/>
          <w:bCs w:val="0"/>
          <w:sz w:val="24"/>
          <w:szCs w:val="24"/>
        </w:rPr>
        <w:t xml:space="preserve">This strategy will not deliver immediate benefits or savings and it is likely that in the early years of the scheme, costs will be increased.  These </w:t>
      </w:r>
      <w:r w:rsidRPr="00F1576D">
        <w:rPr>
          <w:b w:val="0"/>
          <w:bCs w:val="0"/>
          <w:sz w:val="24"/>
          <w:szCs w:val="24"/>
        </w:rPr>
        <w:lastRenderedPageBreak/>
        <w:t xml:space="preserve">increased costs reflect the impact of transition costs in relation to potential void units, and the increased hourly rate of care.  In addition, </w:t>
      </w:r>
      <w:r w:rsidR="003F60B5" w:rsidRPr="00F1576D">
        <w:rPr>
          <w:b w:val="0"/>
          <w:bCs w:val="0"/>
          <w:sz w:val="24"/>
          <w:szCs w:val="24"/>
        </w:rPr>
        <w:t xml:space="preserve">it is expected that the </w:t>
      </w:r>
      <w:r w:rsidRPr="00F1576D">
        <w:rPr>
          <w:b w:val="0"/>
          <w:bCs w:val="0"/>
          <w:sz w:val="24"/>
          <w:szCs w:val="24"/>
        </w:rPr>
        <w:t>contract be linked to the London Living Wage to ensure sustainability and ability to attract suitably qualified staff to deliver the care needs.</w:t>
      </w:r>
    </w:p>
    <w:p w14:paraId="41EE65B1" w14:textId="77777777" w:rsidR="00333FAA" w:rsidRPr="00303FD6" w:rsidRDefault="00333FAA" w:rsidP="00A1211C">
      <w:pPr>
        <w:pStyle w:val="Heading3"/>
        <w:spacing w:before="480" w:after="240"/>
        <w:rPr>
          <w:color w:val="FF0000"/>
        </w:rPr>
      </w:pPr>
      <w:r w:rsidRPr="004A2543">
        <w:t>Equalities implications</w:t>
      </w:r>
      <w:r w:rsidR="001C7E35">
        <w:t xml:space="preserve"> </w:t>
      </w:r>
      <w:r w:rsidRPr="00333FAA">
        <w:t>/</w:t>
      </w:r>
      <w:r w:rsidR="001C7E35">
        <w:t xml:space="preserve"> </w:t>
      </w:r>
      <w:r w:rsidRPr="00333FAA">
        <w:t>Public Sector Equality Duty</w:t>
      </w:r>
    </w:p>
    <w:p w14:paraId="2969E681" w14:textId="0555F3BA" w:rsidR="00C17B6B" w:rsidRPr="00201183" w:rsidRDefault="00C17B6B" w:rsidP="00201183">
      <w:pPr>
        <w:pStyle w:val="Heading3"/>
        <w:numPr>
          <w:ilvl w:val="0"/>
          <w:numId w:val="5"/>
        </w:numPr>
        <w:jc w:val="left"/>
        <w:rPr>
          <w:rFonts w:cs="Times New Roman"/>
          <w:b w:val="0"/>
          <w:bCs w:val="0"/>
          <w:iCs/>
          <w:sz w:val="24"/>
          <w:szCs w:val="20"/>
        </w:rPr>
      </w:pPr>
      <w:r w:rsidRPr="00C17B6B">
        <w:rPr>
          <w:rFonts w:cs="Times New Roman"/>
          <w:b w:val="0"/>
          <w:bCs w:val="0"/>
          <w:iCs/>
          <w:sz w:val="24"/>
          <w:szCs w:val="20"/>
        </w:rPr>
        <w:t xml:space="preserve">An initial review of equalities impact has been undertaken and the overall conclusion of these assessments is that the implications are either positive or neutral. In particular an increase in suitable accommodation for an increasing population of over </w:t>
      </w:r>
      <w:r w:rsidR="000A244B" w:rsidRPr="00C17B6B">
        <w:rPr>
          <w:rFonts w:cs="Times New Roman"/>
          <w:b w:val="0"/>
          <w:bCs w:val="0"/>
          <w:iCs/>
          <w:sz w:val="24"/>
          <w:szCs w:val="20"/>
        </w:rPr>
        <w:t>65-year</w:t>
      </w:r>
      <w:r w:rsidRPr="00C17B6B">
        <w:rPr>
          <w:rFonts w:cs="Times New Roman"/>
          <w:b w:val="0"/>
          <w:bCs w:val="0"/>
          <w:iCs/>
          <w:sz w:val="24"/>
          <w:szCs w:val="20"/>
        </w:rPr>
        <w:t xml:space="preserve"> olds is positive for this age group. The commissioning of the wellbeing and care services will ensure that </w:t>
      </w:r>
      <w:r w:rsidRPr="00C17B6B">
        <w:rPr>
          <w:rFonts w:cs="Times New Roman"/>
          <w:b w:val="0"/>
          <w:bCs w:val="0"/>
          <w:iCs/>
          <w:sz w:val="24"/>
          <w:szCs w:val="24"/>
        </w:rPr>
        <w:t>the</w:t>
      </w:r>
      <w:r w:rsidRPr="00C17B6B">
        <w:rPr>
          <w:iCs/>
          <w:sz w:val="24"/>
          <w:szCs w:val="24"/>
        </w:rPr>
        <w:t xml:space="preserve"> </w:t>
      </w:r>
      <w:r w:rsidRPr="00C17B6B">
        <w:rPr>
          <w:b w:val="0"/>
          <w:bCs w:val="0"/>
          <w:iCs/>
          <w:sz w:val="24"/>
          <w:szCs w:val="24"/>
        </w:rPr>
        <w:t>p</w:t>
      </w:r>
      <w:r w:rsidRPr="00C17B6B">
        <w:rPr>
          <w:rFonts w:cs="Times New Roman"/>
          <w:b w:val="0"/>
          <w:bCs w:val="0"/>
          <w:iCs/>
          <w:sz w:val="24"/>
          <w:szCs w:val="20"/>
        </w:rPr>
        <w:t>rovider is able to meet the needs of Harrow’s ethnically diverse groups</w:t>
      </w:r>
      <w:r w:rsidR="000A244B">
        <w:rPr>
          <w:rFonts w:cs="Times New Roman"/>
          <w:b w:val="0"/>
          <w:bCs w:val="0"/>
          <w:iCs/>
          <w:sz w:val="24"/>
          <w:szCs w:val="20"/>
        </w:rPr>
        <w:t>.</w:t>
      </w:r>
      <w:r w:rsidR="00D70E31">
        <w:rPr>
          <w:rFonts w:cs="Times New Roman"/>
          <w:b w:val="0"/>
          <w:bCs w:val="0"/>
          <w:iCs/>
          <w:sz w:val="24"/>
          <w:szCs w:val="20"/>
        </w:rPr>
        <w:t xml:space="preserve">  Officers will complete an EQIA as part of the procurement process.</w:t>
      </w:r>
    </w:p>
    <w:p w14:paraId="72722BD2" w14:textId="24D9C74A" w:rsidR="00333FAA" w:rsidRPr="009117F2" w:rsidRDefault="00333FAA" w:rsidP="00C17B6B">
      <w:pPr>
        <w:pStyle w:val="Heading3"/>
        <w:spacing w:before="480" w:after="240"/>
      </w:pPr>
      <w:r>
        <w:t xml:space="preserve">Council </w:t>
      </w:r>
      <w:r w:rsidRPr="009117F2">
        <w:t>Priorities</w:t>
      </w:r>
    </w:p>
    <w:p w14:paraId="21081BFD" w14:textId="4D18A012" w:rsidR="001966D7" w:rsidRDefault="00B0729B" w:rsidP="00E84B6B">
      <w:pPr>
        <w:pStyle w:val="ListParagraph"/>
        <w:numPr>
          <w:ilvl w:val="0"/>
          <w:numId w:val="5"/>
        </w:numPr>
        <w:rPr>
          <w:rFonts w:cs="Arial"/>
          <w:szCs w:val="24"/>
          <w:lang w:val="en-US"/>
        </w:rPr>
      </w:pPr>
      <w:r w:rsidRPr="00E84B6B">
        <w:rPr>
          <w:rFonts w:cs="Arial"/>
          <w:szCs w:val="24"/>
          <w:lang w:val="en-US"/>
        </w:rPr>
        <w:t>The implementation of the Council’s Extra Care Strategy contributes to the following Council Priorities:</w:t>
      </w:r>
    </w:p>
    <w:p w14:paraId="44C1BA04" w14:textId="77777777" w:rsidR="00751FEE" w:rsidRPr="00E84B6B" w:rsidRDefault="00751FEE" w:rsidP="00751FEE">
      <w:pPr>
        <w:pStyle w:val="ListParagraph"/>
        <w:ind w:left="360"/>
        <w:rPr>
          <w:rFonts w:cs="Arial"/>
          <w:szCs w:val="24"/>
          <w:lang w:val="en-US"/>
        </w:rPr>
      </w:pPr>
    </w:p>
    <w:p w14:paraId="4F2686C3" w14:textId="07CD5ABA" w:rsidR="00D07F46" w:rsidRPr="00B0729B" w:rsidRDefault="00D0381E" w:rsidP="00E84B6B">
      <w:pPr>
        <w:pStyle w:val="ListParagraph"/>
        <w:numPr>
          <w:ilvl w:val="0"/>
          <w:numId w:val="9"/>
        </w:numPr>
        <w:autoSpaceDE w:val="0"/>
        <w:autoSpaceDN w:val="0"/>
        <w:ind w:left="1156" w:hanging="436"/>
        <w:rPr>
          <w:bCs/>
        </w:rPr>
      </w:pPr>
      <w:r w:rsidRPr="00B0729B">
        <w:rPr>
          <w:b/>
        </w:rPr>
        <w:t>Building homes and infrastructure</w:t>
      </w:r>
      <w:r w:rsidR="00B0729B" w:rsidRPr="00B0729B">
        <w:rPr>
          <w:bCs/>
        </w:rPr>
        <w:t xml:space="preserve"> that will support vulnerable </w:t>
      </w:r>
      <w:r w:rsidR="00AE1FD2">
        <w:rPr>
          <w:bCs/>
        </w:rPr>
        <w:t>citizens</w:t>
      </w:r>
      <w:r w:rsidR="00B0729B" w:rsidRPr="00B0729B">
        <w:rPr>
          <w:bCs/>
        </w:rPr>
        <w:t xml:space="preserve"> to live as independently as possible locally in Harrow.</w:t>
      </w:r>
    </w:p>
    <w:p w14:paraId="140CB61E" w14:textId="77777777" w:rsidR="00D07F46" w:rsidRPr="00D0381E" w:rsidRDefault="00D0381E" w:rsidP="00E84B6B">
      <w:pPr>
        <w:pStyle w:val="ListParagraph"/>
        <w:numPr>
          <w:ilvl w:val="0"/>
          <w:numId w:val="10"/>
        </w:numPr>
        <w:autoSpaceDE w:val="0"/>
        <w:autoSpaceDN w:val="0"/>
        <w:ind w:left="1156" w:hanging="436"/>
        <w:rPr>
          <w:b/>
        </w:rPr>
      </w:pPr>
      <w:r w:rsidRPr="00D0381E">
        <w:rPr>
          <w:b/>
        </w:rPr>
        <w:t>Addressing health and social care inequality</w:t>
      </w:r>
      <w:r w:rsidR="00B0729B">
        <w:rPr>
          <w:b/>
        </w:rPr>
        <w:t xml:space="preserve"> </w:t>
      </w:r>
      <w:r w:rsidR="00B0729B" w:rsidRPr="00B0729B">
        <w:rPr>
          <w:bCs/>
        </w:rPr>
        <w:t xml:space="preserve">by providing high quality care for an increasing proportion of Harrow’s </w:t>
      </w:r>
      <w:r w:rsidR="00B0729B">
        <w:rPr>
          <w:bCs/>
        </w:rPr>
        <w:t xml:space="preserve">aging </w:t>
      </w:r>
      <w:r w:rsidR="00B0729B" w:rsidRPr="00B0729B">
        <w:rPr>
          <w:bCs/>
        </w:rPr>
        <w:t>population.</w:t>
      </w:r>
    </w:p>
    <w:p w14:paraId="46B3571E" w14:textId="77777777" w:rsidR="00307F76" w:rsidRPr="000E393E" w:rsidRDefault="00D0381E" w:rsidP="00E84B6B">
      <w:pPr>
        <w:pStyle w:val="ListParagraph"/>
        <w:numPr>
          <w:ilvl w:val="0"/>
          <w:numId w:val="10"/>
        </w:numPr>
        <w:autoSpaceDE w:val="0"/>
        <w:autoSpaceDN w:val="0"/>
        <w:ind w:left="1156" w:hanging="436"/>
        <w:rPr>
          <w:bCs/>
        </w:rPr>
      </w:pPr>
      <w:r w:rsidRPr="00D0381E">
        <w:rPr>
          <w:b/>
        </w:rPr>
        <w:t>Thriving economy</w:t>
      </w:r>
      <w:r w:rsidR="00B0729B">
        <w:rPr>
          <w:b/>
        </w:rPr>
        <w:t xml:space="preserve"> </w:t>
      </w:r>
      <w:r w:rsidR="00B0729B" w:rsidRPr="000E393E">
        <w:rPr>
          <w:bCs/>
        </w:rPr>
        <w:t xml:space="preserve">to create opportunities for local </w:t>
      </w:r>
      <w:r w:rsidR="000E393E">
        <w:rPr>
          <w:bCs/>
        </w:rPr>
        <w:t xml:space="preserve">employment and business development. </w:t>
      </w:r>
    </w:p>
    <w:p w14:paraId="6921F8E8" w14:textId="77777777" w:rsidR="00333FAA" w:rsidRDefault="00333FAA" w:rsidP="000B7C66">
      <w:pPr>
        <w:pStyle w:val="Heading2"/>
        <w:spacing w:before="480" w:after="240"/>
      </w:pPr>
      <w:r>
        <w:t>Section 3 - Statutory Officer Clearance</w:t>
      </w:r>
    </w:p>
    <w:p w14:paraId="5756C268" w14:textId="1CAA93B7" w:rsidR="00A66326" w:rsidRPr="00A66326" w:rsidRDefault="00A66326" w:rsidP="00A66326">
      <w:pPr>
        <w:rPr>
          <w:sz w:val="28"/>
        </w:rPr>
      </w:pPr>
      <w:r w:rsidRPr="00A66326">
        <w:rPr>
          <w:b/>
          <w:sz w:val="28"/>
        </w:rPr>
        <w:t xml:space="preserve">Statutory Officer:  </w:t>
      </w:r>
      <w:r w:rsidR="00D70E31" w:rsidRPr="00201183">
        <w:rPr>
          <w:bCs/>
          <w:sz w:val="28"/>
        </w:rPr>
        <w:t>Donna Edwards</w:t>
      </w:r>
    </w:p>
    <w:p w14:paraId="366CFFBA" w14:textId="5787F00D" w:rsidR="00A66326" w:rsidRPr="00A66326" w:rsidRDefault="00A66326" w:rsidP="00A66326">
      <w:r w:rsidRPr="00A66326">
        <w:t>Signed on behalf of the Chief Financial Officer</w:t>
      </w:r>
    </w:p>
    <w:p w14:paraId="75976375" w14:textId="77777777" w:rsidR="00A66326" w:rsidRPr="00A66326" w:rsidRDefault="00A66326" w:rsidP="00A66326">
      <w:pPr>
        <w:rPr>
          <w:sz w:val="28"/>
        </w:rPr>
      </w:pPr>
    </w:p>
    <w:p w14:paraId="4BCF6F85" w14:textId="6AA77A78" w:rsidR="00A66326" w:rsidRDefault="00A66326" w:rsidP="00A66326">
      <w:pPr>
        <w:spacing w:after="480"/>
        <w:rPr>
          <w:b/>
          <w:sz w:val="28"/>
        </w:rPr>
      </w:pPr>
      <w:r w:rsidRPr="00A66326">
        <w:rPr>
          <w:b/>
          <w:sz w:val="28"/>
        </w:rPr>
        <w:t xml:space="preserve">Date:  </w:t>
      </w:r>
      <w:r w:rsidR="00F14948" w:rsidRPr="00F14948">
        <w:rPr>
          <w:bCs/>
          <w:sz w:val="28"/>
        </w:rPr>
        <w:t>30</w:t>
      </w:r>
      <w:r w:rsidR="00F14948" w:rsidRPr="00F14948">
        <w:rPr>
          <w:bCs/>
          <w:sz w:val="28"/>
          <w:vertAlign w:val="superscript"/>
        </w:rPr>
        <w:t>th</w:t>
      </w:r>
      <w:r w:rsidR="00F14948" w:rsidRPr="00F14948">
        <w:rPr>
          <w:bCs/>
          <w:sz w:val="28"/>
        </w:rPr>
        <w:t xml:space="preserve"> October 2020</w:t>
      </w:r>
    </w:p>
    <w:p w14:paraId="6FF6306F" w14:textId="4FF45051" w:rsidR="00A66326" w:rsidRPr="00A66326" w:rsidRDefault="00A66326" w:rsidP="00A66326">
      <w:pPr>
        <w:rPr>
          <w:sz w:val="28"/>
        </w:rPr>
      </w:pPr>
      <w:r w:rsidRPr="00A66326">
        <w:rPr>
          <w:b/>
          <w:sz w:val="28"/>
        </w:rPr>
        <w:t xml:space="preserve">Statutory Officer:  </w:t>
      </w:r>
      <w:r w:rsidR="00D70E31" w:rsidRPr="00201183">
        <w:rPr>
          <w:bCs/>
          <w:sz w:val="28"/>
        </w:rPr>
        <w:t>Sharon Clarke</w:t>
      </w:r>
    </w:p>
    <w:p w14:paraId="52ACFA79" w14:textId="00E95188" w:rsidR="00A66326" w:rsidRPr="00A66326" w:rsidRDefault="00A66326" w:rsidP="00A66326">
      <w:r w:rsidRPr="00A66326">
        <w:t>Signed on behalf of the Monitoring Officer</w:t>
      </w:r>
    </w:p>
    <w:p w14:paraId="5111E061" w14:textId="11E974EC" w:rsidR="00A66326" w:rsidRPr="002548D1" w:rsidRDefault="00A66326" w:rsidP="00A66326">
      <w:pPr>
        <w:ind w:left="360" w:hanging="360"/>
        <w:jc w:val="both"/>
        <w:rPr>
          <w:rFonts w:cs="Arial"/>
          <w:color w:val="FF0000"/>
        </w:rPr>
      </w:pPr>
    </w:p>
    <w:p w14:paraId="35D9BCB6" w14:textId="77777777" w:rsidR="00A66326" w:rsidRPr="00A66326" w:rsidRDefault="00A66326" w:rsidP="00A66326">
      <w:pPr>
        <w:rPr>
          <w:sz w:val="28"/>
        </w:rPr>
      </w:pPr>
    </w:p>
    <w:p w14:paraId="7D2952ED" w14:textId="09CAB334" w:rsidR="00A66326" w:rsidRPr="003313EA" w:rsidRDefault="00A66326" w:rsidP="00A66326">
      <w:pPr>
        <w:spacing w:after="480"/>
        <w:rPr>
          <w:sz w:val="28"/>
        </w:rPr>
      </w:pPr>
      <w:r w:rsidRPr="00A66326">
        <w:rPr>
          <w:b/>
          <w:sz w:val="28"/>
        </w:rPr>
        <w:t xml:space="preserve">Date:  </w:t>
      </w:r>
      <w:r w:rsidR="00707CB3" w:rsidRPr="00707CB3">
        <w:rPr>
          <w:bCs/>
          <w:sz w:val="28"/>
        </w:rPr>
        <w:t>29</w:t>
      </w:r>
      <w:r w:rsidR="00707CB3" w:rsidRPr="00707CB3">
        <w:rPr>
          <w:bCs/>
          <w:sz w:val="28"/>
          <w:vertAlign w:val="superscript"/>
        </w:rPr>
        <w:t>th</w:t>
      </w:r>
      <w:r w:rsidR="00707CB3" w:rsidRPr="00707CB3">
        <w:rPr>
          <w:bCs/>
          <w:sz w:val="28"/>
        </w:rPr>
        <w:t xml:space="preserve"> October 2020</w:t>
      </w:r>
    </w:p>
    <w:p w14:paraId="355F52DF" w14:textId="0178D684" w:rsidR="00A66326" w:rsidRPr="003313EA" w:rsidRDefault="00A66326" w:rsidP="00A66326">
      <w:pPr>
        <w:rPr>
          <w:sz w:val="28"/>
        </w:rPr>
      </w:pPr>
      <w:r w:rsidRPr="00A66326">
        <w:rPr>
          <w:b/>
          <w:sz w:val="28"/>
        </w:rPr>
        <w:t xml:space="preserve">Statutory Officer:  </w:t>
      </w:r>
      <w:r w:rsidR="00D70E31" w:rsidRPr="00201183">
        <w:rPr>
          <w:bCs/>
          <w:sz w:val="28"/>
        </w:rPr>
        <w:t>Lisa Taylor</w:t>
      </w:r>
    </w:p>
    <w:p w14:paraId="24FB09C2" w14:textId="209CB5BA" w:rsidR="00A66326" w:rsidRPr="003313EA" w:rsidRDefault="00F1576D" w:rsidP="00A66326">
      <w:r>
        <w:t xml:space="preserve">Signed on </w:t>
      </w:r>
      <w:r w:rsidR="00A66326" w:rsidRPr="003313EA">
        <w:t>behalf of the Head of Procurement</w:t>
      </w:r>
    </w:p>
    <w:p w14:paraId="44DC0779" w14:textId="77777777" w:rsidR="00A66326" w:rsidRPr="00A66326" w:rsidRDefault="00A66326" w:rsidP="00A66326">
      <w:pPr>
        <w:rPr>
          <w:sz w:val="28"/>
        </w:rPr>
      </w:pPr>
    </w:p>
    <w:p w14:paraId="48178812" w14:textId="61DF72A0" w:rsidR="00A66326" w:rsidRPr="00A66326" w:rsidRDefault="00A66326" w:rsidP="00A66326">
      <w:pPr>
        <w:spacing w:after="480"/>
        <w:rPr>
          <w:sz w:val="28"/>
        </w:rPr>
      </w:pPr>
      <w:r w:rsidRPr="00A66326">
        <w:rPr>
          <w:b/>
          <w:sz w:val="28"/>
        </w:rPr>
        <w:lastRenderedPageBreak/>
        <w:t xml:space="preserve">Date:  </w:t>
      </w:r>
      <w:r w:rsidR="00707CB3" w:rsidRPr="00707CB3">
        <w:rPr>
          <w:bCs/>
          <w:sz w:val="28"/>
        </w:rPr>
        <w:t>29</w:t>
      </w:r>
      <w:r w:rsidR="00707CB3" w:rsidRPr="00707CB3">
        <w:rPr>
          <w:bCs/>
          <w:sz w:val="28"/>
          <w:vertAlign w:val="superscript"/>
        </w:rPr>
        <w:t>th</w:t>
      </w:r>
      <w:r w:rsidR="00707CB3" w:rsidRPr="00707CB3">
        <w:rPr>
          <w:bCs/>
          <w:sz w:val="28"/>
        </w:rPr>
        <w:t xml:space="preserve"> October 2020</w:t>
      </w:r>
    </w:p>
    <w:p w14:paraId="49CBEF95" w14:textId="33BFDE4C" w:rsidR="00A66326" w:rsidRPr="00A66326" w:rsidRDefault="00A66326" w:rsidP="00A66326">
      <w:pPr>
        <w:rPr>
          <w:sz w:val="28"/>
        </w:rPr>
      </w:pPr>
      <w:r w:rsidRPr="00A66326">
        <w:rPr>
          <w:b/>
          <w:sz w:val="28"/>
        </w:rPr>
        <w:t xml:space="preserve">Statutory Officer:  </w:t>
      </w:r>
      <w:r w:rsidR="00D70E31" w:rsidRPr="00201183">
        <w:rPr>
          <w:bCs/>
          <w:sz w:val="28"/>
        </w:rPr>
        <w:t>Paul Hewitt</w:t>
      </w:r>
    </w:p>
    <w:p w14:paraId="2FB30730" w14:textId="77777777" w:rsidR="00A66326" w:rsidRPr="00A66326" w:rsidRDefault="00F51E01" w:rsidP="00A66326">
      <w:r>
        <w:t>Signed</w:t>
      </w:r>
      <w:r w:rsidR="00A66326" w:rsidRPr="00A66326">
        <w:t xml:space="preserve"> by the Corporate Director</w:t>
      </w:r>
    </w:p>
    <w:p w14:paraId="02279109" w14:textId="77777777" w:rsidR="00A66326" w:rsidRPr="00A66326" w:rsidRDefault="00A66326" w:rsidP="00A66326">
      <w:pPr>
        <w:rPr>
          <w:sz w:val="28"/>
        </w:rPr>
      </w:pPr>
    </w:p>
    <w:p w14:paraId="42F3BC85" w14:textId="30329259" w:rsidR="00A66326" w:rsidRPr="00A66326" w:rsidRDefault="00A66326" w:rsidP="00A66326">
      <w:pPr>
        <w:spacing w:after="480"/>
        <w:rPr>
          <w:sz w:val="28"/>
        </w:rPr>
      </w:pPr>
      <w:r w:rsidRPr="00A66326">
        <w:rPr>
          <w:b/>
          <w:sz w:val="28"/>
        </w:rPr>
        <w:t xml:space="preserve">Date:  </w:t>
      </w:r>
      <w:r w:rsidR="000F6D62" w:rsidRPr="00707CB3">
        <w:rPr>
          <w:bCs/>
          <w:sz w:val="28"/>
        </w:rPr>
        <w:t>27</w:t>
      </w:r>
      <w:r w:rsidR="000F6D62" w:rsidRPr="00707CB3">
        <w:rPr>
          <w:bCs/>
          <w:sz w:val="28"/>
          <w:vertAlign w:val="superscript"/>
        </w:rPr>
        <w:t>th</w:t>
      </w:r>
      <w:r w:rsidR="000F6D62" w:rsidRPr="00707CB3">
        <w:rPr>
          <w:bCs/>
          <w:sz w:val="28"/>
        </w:rPr>
        <w:t xml:space="preserve"> October 2020</w:t>
      </w:r>
    </w:p>
    <w:p w14:paraId="1B940147" w14:textId="77777777" w:rsidR="003313EA" w:rsidRPr="00435B5D" w:rsidRDefault="003313EA" w:rsidP="003313EA">
      <w:pPr>
        <w:pStyle w:val="Heading2"/>
        <w:spacing w:after="240"/>
      </w:pPr>
      <w:r>
        <w:t>Mandatory Checks</w:t>
      </w:r>
    </w:p>
    <w:p w14:paraId="1801CBCD" w14:textId="55DAF37F"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xml:space="preserve"> as it impacts on all Wards</w:t>
      </w:r>
      <w:r w:rsidRPr="00A406F3">
        <w:t xml:space="preserve"> </w:t>
      </w:r>
    </w:p>
    <w:p w14:paraId="0C1AE9B9" w14:textId="63BF2A7A" w:rsidR="003313EA" w:rsidRDefault="003313EA" w:rsidP="003313EA">
      <w:pPr>
        <w:pStyle w:val="Heading3"/>
        <w:spacing w:before="240"/>
      </w:pPr>
      <w:proofErr w:type="spellStart"/>
      <w:r w:rsidRPr="00202D79">
        <w:t>EqIA</w:t>
      </w:r>
      <w:proofErr w:type="spellEnd"/>
      <w:r w:rsidRPr="00202D79">
        <w:t xml:space="preserve"> carried out:</w:t>
      </w:r>
      <w:r>
        <w:t xml:space="preserve">  </w:t>
      </w:r>
      <w:r w:rsidRPr="00202D79">
        <w:t>N</w:t>
      </w:r>
      <w:r w:rsidR="00C17B6B">
        <w:t>o</w:t>
      </w:r>
    </w:p>
    <w:p w14:paraId="37CD8534" w14:textId="77777777" w:rsidR="00C17B6B" w:rsidRPr="00C17B6B" w:rsidRDefault="00C17B6B" w:rsidP="00C17B6B"/>
    <w:p w14:paraId="2F337158" w14:textId="77777777" w:rsidR="00C17B6B" w:rsidRDefault="00C17B6B" w:rsidP="00C17B6B">
      <w:pPr>
        <w:pStyle w:val="Infotext"/>
        <w:rPr>
          <w:rFonts w:cs="Arial"/>
          <w:sz w:val="24"/>
          <w:szCs w:val="24"/>
        </w:rPr>
      </w:pPr>
      <w:r w:rsidRPr="00A204C2">
        <w:rPr>
          <w:rFonts w:cs="Arial"/>
          <w:iCs/>
          <w:sz w:val="24"/>
          <w:szCs w:val="24"/>
        </w:rPr>
        <w:t>An initial review of equalities impact has been undertaken and the overall conclusion of these assessments is that the implications are either positive or neutral.</w:t>
      </w:r>
      <w:r w:rsidRPr="00BF640A">
        <w:rPr>
          <w:rFonts w:cs="Arial"/>
          <w:sz w:val="24"/>
          <w:szCs w:val="24"/>
        </w:rPr>
        <w:t xml:space="preserve"> The EQIA will be incorporated into the co-production process to review and redesign services in preparation for procurement</w:t>
      </w:r>
      <w:r>
        <w:rPr>
          <w:rFonts w:cs="Arial"/>
          <w:sz w:val="24"/>
          <w:szCs w:val="24"/>
        </w:rPr>
        <w:t xml:space="preserve"> and subsequent service delivery.</w:t>
      </w:r>
    </w:p>
    <w:p w14:paraId="01C5435C" w14:textId="77777777" w:rsidR="00333FAA" w:rsidRDefault="00333FAA" w:rsidP="00842757">
      <w:pPr>
        <w:pStyle w:val="Heading2"/>
        <w:spacing w:before="480" w:after="240"/>
      </w:pPr>
      <w:r>
        <w:t xml:space="preserve">Section </w:t>
      </w:r>
      <w:r w:rsidR="00A20113">
        <w:t>4</w:t>
      </w:r>
      <w:r>
        <w:t xml:space="preserve"> - Contact Details and Background Papers</w:t>
      </w:r>
    </w:p>
    <w:p w14:paraId="07B5C5D1" w14:textId="46780624" w:rsidR="00333FAA" w:rsidRPr="00201183" w:rsidRDefault="00333FAA" w:rsidP="00CC18AC">
      <w:pPr>
        <w:pStyle w:val="Infotext"/>
        <w:spacing w:after="240"/>
        <w:rPr>
          <w:szCs w:val="28"/>
        </w:rPr>
      </w:pPr>
      <w:r w:rsidRPr="00C17B6B">
        <w:rPr>
          <w:b/>
        </w:rPr>
        <w:t xml:space="preserve">Contact: </w:t>
      </w:r>
      <w:r w:rsidR="00201183">
        <w:rPr>
          <w:b/>
        </w:rPr>
        <w:t xml:space="preserve"> </w:t>
      </w:r>
      <w:r w:rsidR="00201183" w:rsidRPr="00201183">
        <w:rPr>
          <w:bCs/>
          <w:szCs w:val="28"/>
        </w:rPr>
        <w:t>Kim</w:t>
      </w:r>
      <w:r w:rsidR="00201183" w:rsidRPr="00201183">
        <w:rPr>
          <w:b/>
          <w:szCs w:val="28"/>
        </w:rPr>
        <w:t xml:space="preserve"> </w:t>
      </w:r>
      <w:r w:rsidR="00D70E31" w:rsidRPr="00201183">
        <w:rPr>
          <w:szCs w:val="28"/>
        </w:rPr>
        <w:t>Chilvers</w:t>
      </w:r>
      <w:r w:rsidR="00201183" w:rsidRPr="00201183">
        <w:rPr>
          <w:szCs w:val="28"/>
        </w:rPr>
        <w:t>, Strategic Commissioning Manager Older People and Carers</w:t>
      </w:r>
      <w:r w:rsidR="00201183">
        <w:rPr>
          <w:szCs w:val="28"/>
        </w:rPr>
        <w:t>, kim.chilvers@harrow.gov.uk</w:t>
      </w:r>
    </w:p>
    <w:p w14:paraId="318C4A59" w14:textId="77777777" w:rsidR="004632C3" w:rsidRDefault="00333FAA" w:rsidP="00CC18AC">
      <w:pPr>
        <w:pStyle w:val="Infotext"/>
        <w:spacing w:after="240"/>
        <w:rPr>
          <w:b/>
        </w:rPr>
      </w:pPr>
      <w:r w:rsidRPr="00C17B6B">
        <w:rPr>
          <w:b/>
        </w:rPr>
        <w:t xml:space="preserve">Background Papers: </w:t>
      </w:r>
      <w:r w:rsidR="005808FB" w:rsidRPr="00C17B6B">
        <w:rPr>
          <w:b/>
        </w:rPr>
        <w:t xml:space="preserve"> </w:t>
      </w:r>
    </w:p>
    <w:p w14:paraId="6B4251B3" w14:textId="62F69AB5" w:rsidR="004632C3" w:rsidRDefault="00F1576D" w:rsidP="00CC18AC">
      <w:pPr>
        <w:pStyle w:val="Infotext"/>
        <w:spacing w:after="240"/>
        <w:rPr>
          <w:sz w:val="24"/>
          <w:szCs w:val="24"/>
        </w:rPr>
      </w:pPr>
      <w:hyperlink r:id="rId15" w:history="1">
        <w:r w:rsidR="00B0729B" w:rsidRPr="00F1576D">
          <w:rPr>
            <w:rStyle w:val="Hyperlink"/>
            <w:sz w:val="24"/>
            <w:szCs w:val="24"/>
          </w:rPr>
          <w:t>Extra Care Housing Strategy</w:t>
        </w:r>
      </w:hyperlink>
    </w:p>
    <w:p w14:paraId="0F8172A0" w14:textId="4EBCB843" w:rsidR="00201183" w:rsidRDefault="00F1576D" w:rsidP="00CC18AC">
      <w:pPr>
        <w:pStyle w:val="Infotext"/>
        <w:spacing w:after="240"/>
        <w:rPr>
          <w:sz w:val="24"/>
          <w:szCs w:val="24"/>
        </w:rPr>
      </w:pPr>
      <w:hyperlink r:id="rId16" w:history="1">
        <w:r w:rsidR="00B0729B" w:rsidRPr="00F1576D">
          <w:rPr>
            <w:rStyle w:val="Hyperlink"/>
            <w:sz w:val="24"/>
            <w:szCs w:val="24"/>
          </w:rPr>
          <w:t>Cabinet Report November 2018</w:t>
        </w:r>
      </w:hyperlink>
    </w:p>
    <w:p w14:paraId="6372888A" w14:textId="3F48E25D" w:rsidR="00333FAA" w:rsidRPr="00C17B6B" w:rsidRDefault="00333FAA" w:rsidP="00CC18AC">
      <w:pPr>
        <w:pStyle w:val="Infotext"/>
        <w:spacing w:after="240"/>
        <w:rPr>
          <w:b/>
          <w:sz w:val="24"/>
          <w:szCs w:val="24"/>
        </w:rPr>
      </w:pPr>
    </w:p>
    <w:p w14:paraId="3BED0E02" w14:textId="77777777" w:rsidR="00842757" w:rsidRPr="00F1576D" w:rsidRDefault="00842757" w:rsidP="00B0729B">
      <w:pPr>
        <w:rPr>
          <w:rFonts w:ascii="Arial Black" w:hAnsi="Arial Black"/>
          <w:sz w:val="28"/>
        </w:rPr>
      </w:pPr>
      <w:r w:rsidRPr="00F1576D">
        <w:rPr>
          <w:rFonts w:ascii="Arial Black" w:hAnsi="Arial Black"/>
          <w:sz w:val="28"/>
        </w:rPr>
        <w:t>Call-in waived by the Chair of Overview and Scrutiny Committee</w:t>
      </w:r>
    </w:p>
    <w:p w14:paraId="103F4543" w14:textId="455DEC99" w:rsidR="00842757" w:rsidRPr="00C17B6B" w:rsidRDefault="00842757" w:rsidP="00A53B04">
      <w:pPr>
        <w:pStyle w:val="Infotext"/>
        <w:rPr>
          <w:i/>
          <w:sz w:val="24"/>
          <w:szCs w:val="24"/>
        </w:rPr>
      </w:pPr>
    </w:p>
    <w:p w14:paraId="6650C958" w14:textId="77777777" w:rsidR="00842757" w:rsidRPr="00C17B6B" w:rsidRDefault="00B0729B" w:rsidP="00842757">
      <w:pPr>
        <w:pStyle w:val="Infotext"/>
        <w:spacing w:before="240"/>
      </w:pPr>
      <w:r w:rsidRPr="00C17B6B">
        <w:rPr>
          <w:b/>
        </w:rPr>
        <w:t>NO</w:t>
      </w:r>
      <w:bookmarkStart w:id="1" w:name="_GoBack"/>
      <w:bookmarkEnd w:id="1"/>
    </w:p>
    <w:sectPr w:rsidR="00842757" w:rsidRPr="00C17B6B" w:rsidSect="001614E0">
      <w:headerReference w:type="default" r:id="rId17"/>
      <w:headerReference w:type="first" r:id="rId18"/>
      <w:footerReference w:type="first" r:id="rId19"/>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83F20" w14:textId="77777777" w:rsidR="003E64D6" w:rsidRDefault="003E64D6">
      <w:r>
        <w:separator/>
      </w:r>
    </w:p>
  </w:endnote>
  <w:endnote w:type="continuationSeparator" w:id="0">
    <w:p w14:paraId="34E36AFC" w14:textId="77777777" w:rsidR="003E64D6" w:rsidRDefault="003E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2FCF" w14:textId="77777777"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7798E" w14:textId="77777777" w:rsidR="003E64D6" w:rsidRDefault="003E64D6">
      <w:r>
        <w:separator/>
      </w:r>
    </w:p>
  </w:footnote>
  <w:footnote w:type="continuationSeparator" w:id="0">
    <w:p w14:paraId="1DC05B12" w14:textId="77777777" w:rsidR="003E64D6" w:rsidRDefault="003E64D6">
      <w:r>
        <w:continuationSeparator/>
      </w:r>
    </w:p>
  </w:footnote>
  <w:footnote w:id="1">
    <w:p w14:paraId="4E9DE890" w14:textId="77777777" w:rsidR="00AC266C" w:rsidRDefault="00AC266C" w:rsidP="00AC266C">
      <w:pPr>
        <w:pStyle w:val="FootnoteText"/>
      </w:pPr>
      <w:r>
        <w:rPr>
          <w:rStyle w:val="FootnoteReference"/>
        </w:rPr>
        <w:footnoteRef/>
      </w:r>
      <w:r>
        <w:t xml:space="preserve">Reviews of the care being provided in Ewart House currently indicates approximately 45,000 hours of care annually, however there are a number of citizens (transferred following the closure of Watkins House) who currently receive no care at all and self funders who pay for their own care.  A range is proposed to capture the increased costs of complexity, with 60,000 hours representing an average of 20 hours per week.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EDC01" w14:textId="77777777"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860F5" w14:textId="77777777"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CD2"/>
    <w:multiLevelType w:val="hybridMultilevel"/>
    <w:tmpl w:val="A6605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9412D0"/>
    <w:multiLevelType w:val="hybridMultilevel"/>
    <w:tmpl w:val="C3369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9A0116"/>
    <w:multiLevelType w:val="hybridMultilevel"/>
    <w:tmpl w:val="AF18CE34"/>
    <w:lvl w:ilvl="0" w:tplc="EF588FE4">
      <w:start w:val="1"/>
      <w:numFmt w:val="decimal"/>
      <w:lvlText w:val="%1."/>
      <w:lvlJc w:val="left"/>
      <w:pPr>
        <w:ind w:left="644" w:hanging="360"/>
      </w:pPr>
      <w:rPr>
        <w:rFonts w:ascii="Arial" w:hAnsi="Arial" w:cs="Arial" w:hint="default"/>
        <w:b w:val="0"/>
        <w:bCs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31659CA"/>
    <w:multiLevelType w:val="hybridMultilevel"/>
    <w:tmpl w:val="BDAE6E06"/>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EA5787"/>
    <w:multiLevelType w:val="hybridMultilevel"/>
    <w:tmpl w:val="7520B050"/>
    <w:lvl w:ilvl="0" w:tplc="0809000F">
      <w:start w:val="1"/>
      <w:numFmt w:val="decimal"/>
      <w:lvlText w:val="%1."/>
      <w:lvlJc w:val="left"/>
      <w:pPr>
        <w:ind w:left="2705" w:hanging="360"/>
      </w:pPr>
    </w:lvl>
    <w:lvl w:ilvl="1" w:tplc="08090019" w:tentative="1">
      <w:start w:val="1"/>
      <w:numFmt w:val="lowerLetter"/>
      <w:lvlText w:val="%2."/>
      <w:lvlJc w:val="left"/>
      <w:pPr>
        <w:ind w:left="3425" w:hanging="360"/>
      </w:pPr>
    </w:lvl>
    <w:lvl w:ilvl="2" w:tplc="0809001B">
      <w:start w:val="1"/>
      <w:numFmt w:val="lowerRoman"/>
      <w:lvlText w:val="%3."/>
      <w:lvlJc w:val="right"/>
      <w:pPr>
        <w:ind w:left="4145" w:hanging="180"/>
      </w:pPr>
    </w:lvl>
    <w:lvl w:ilvl="3" w:tplc="0809000F">
      <w:start w:val="1"/>
      <w:numFmt w:val="decimal"/>
      <w:lvlText w:val="%4."/>
      <w:lvlJc w:val="left"/>
      <w:pPr>
        <w:ind w:left="644" w:hanging="360"/>
      </w:pPr>
    </w:lvl>
    <w:lvl w:ilvl="4" w:tplc="08090019">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5">
    <w:nsid w:val="18192A47"/>
    <w:multiLevelType w:val="hybridMultilevel"/>
    <w:tmpl w:val="421C9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3544CF"/>
    <w:multiLevelType w:val="hybridMultilevel"/>
    <w:tmpl w:val="6730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EC019A"/>
    <w:multiLevelType w:val="hybridMultilevel"/>
    <w:tmpl w:val="28ACC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071799"/>
    <w:multiLevelType w:val="hybridMultilevel"/>
    <w:tmpl w:val="D5E0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5A0CD1"/>
    <w:multiLevelType w:val="hybridMultilevel"/>
    <w:tmpl w:val="C076E1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5F32E4"/>
    <w:multiLevelType w:val="hybridMultilevel"/>
    <w:tmpl w:val="125CA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6C2A23"/>
    <w:multiLevelType w:val="hybridMultilevel"/>
    <w:tmpl w:val="D258F9EE"/>
    <w:lvl w:ilvl="0" w:tplc="0809001B">
      <w:start w:val="1"/>
      <w:numFmt w:val="lowerRoman"/>
      <w:lvlText w:val="%1."/>
      <w:lvlJc w:val="righ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E77D7D"/>
    <w:multiLevelType w:val="hybridMultilevel"/>
    <w:tmpl w:val="F970E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6B0F95"/>
    <w:multiLevelType w:val="hybridMultilevel"/>
    <w:tmpl w:val="0402FD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8960421"/>
    <w:multiLevelType w:val="hybridMultilevel"/>
    <w:tmpl w:val="F7A418D8"/>
    <w:lvl w:ilvl="0" w:tplc="0809001B">
      <w:start w:val="1"/>
      <w:numFmt w:val="lowerRoman"/>
      <w:lvlText w:val="%1."/>
      <w:lvlJc w:val="righ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186F69"/>
    <w:multiLevelType w:val="hybridMultilevel"/>
    <w:tmpl w:val="9FFAD560"/>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B86318"/>
    <w:multiLevelType w:val="hybridMultilevel"/>
    <w:tmpl w:val="A1166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2D0584"/>
    <w:multiLevelType w:val="hybridMultilevel"/>
    <w:tmpl w:val="75FE1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5B344D"/>
    <w:multiLevelType w:val="hybridMultilevel"/>
    <w:tmpl w:val="54D62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D26B28"/>
    <w:multiLevelType w:val="hybridMultilevel"/>
    <w:tmpl w:val="740429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78F1430"/>
    <w:multiLevelType w:val="hybridMultilevel"/>
    <w:tmpl w:val="38F8EAFC"/>
    <w:lvl w:ilvl="0" w:tplc="85187BE8">
      <w:start w:val="1"/>
      <w:numFmt w:val="decimal"/>
      <w:lvlText w:val="%1."/>
      <w:lvlJc w:val="left"/>
      <w:pPr>
        <w:tabs>
          <w:tab w:val="num" w:pos="720"/>
        </w:tabs>
        <w:ind w:left="720" w:hanging="720"/>
      </w:pPr>
      <w:rPr>
        <w:strike w:val="0"/>
        <w:dstrike w:val="0"/>
        <w:color w:val="auto"/>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B945DA5"/>
    <w:multiLevelType w:val="hybridMultilevel"/>
    <w:tmpl w:val="BB02F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646C3F"/>
    <w:multiLevelType w:val="hybridMultilevel"/>
    <w:tmpl w:val="D3CE21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4C5559"/>
    <w:multiLevelType w:val="hybridMultilevel"/>
    <w:tmpl w:val="0D2A6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6667F6"/>
    <w:multiLevelType w:val="hybridMultilevel"/>
    <w:tmpl w:val="1C2C24D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6"/>
  </w:num>
  <w:num w:numId="3">
    <w:abstractNumId w:val="19"/>
  </w:num>
  <w:num w:numId="4">
    <w:abstractNumId w:val="0"/>
  </w:num>
  <w:num w:numId="5">
    <w:abstractNumId w:val="2"/>
  </w:num>
  <w:num w:numId="6">
    <w:abstractNumId w:val="12"/>
  </w:num>
  <w:num w:numId="7">
    <w:abstractNumId w:val="8"/>
  </w:num>
  <w:num w:numId="8">
    <w:abstractNumId w:val="24"/>
  </w:num>
  <w:num w:numId="9">
    <w:abstractNumId w:val="27"/>
  </w:num>
  <w:num w:numId="10">
    <w:abstractNumId w:val="17"/>
  </w:num>
  <w:num w:numId="11">
    <w:abstractNumId w:val="4"/>
  </w:num>
  <w:num w:numId="12">
    <w:abstractNumId w:val="22"/>
  </w:num>
  <w:num w:numId="13">
    <w:abstractNumId w:val="1"/>
  </w:num>
  <w:num w:numId="14">
    <w:abstractNumId w:val="1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6"/>
  </w:num>
  <w:num w:numId="18">
    <w:abstractNumId w:val="9"/>
  </w:num>
  <w:num w:numId="19">
    <w:abstractNumId w:val="7"/>
  </w:num>
  <w:num w:numId="20">
    <w:abstractNumId w:val="5"/>
  </w:num>
  <w:num w:numId="21">
    <w:abstractNumId w:val="10"/>
  </w:num>
  <w:num w:numId="22">
    <w:abstractNumId w:val="20"/>
  </w:num>
  <w:num w:numId="23">
    <w:abstractNumId w:val="13"/>
  </w:num>
  <w:num w:numId="24">
    <w:abstractNumId w:val="18"/>
  </w:num>
  <w:num w:numId="25">
    <w:abstractNumId w:val="6"/>
  </w:num>
  <w:num w:numId="26">
    <w:abstractNumId w:val="3"/>
  </w:num>
  <w:num w:numId="27">
    <w:abstractNumId w:val="25"/>
  </w:num>
  <w:num w:numId="2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24A22"/>
    <w:rsid w:val="0004029A"/>
    <w:rsid w:val="000474E3"/>
    <w:rsid w:val="0006034E"/>
    <w:rsid w:val="00063783"/>
    <w:rsid w:val="00073765"/>
    <w:rsid w:val="000776E7"/>
    <w:rsid w:val="000929A6"/>
    <w:rsid w:val="000A244B"/>
    <w:rsid w:val="000A3C22"/>
    <w:rsid w:val="000B5015"/>
    <w:rsid w:val="000B788F"/>
    <w:rsid w:val="000B7C66"/>
    <w:rsid w:val="000D4E36"/>
    <w:rsid w:val="000E10FF"/>
    <w:rsid w:val="000E27F7"/>
    <w:rsid w:val="000E393E"/>
    <w:rsid w:val="000E62FE"/>
    <w:rsid w:val="000F0899"/>
    <w:rsid w:val="000F6D62"/>
    <w:rsid w:val="001161E4"/>
    <w:rsid w:val="00122E20"/>
    <w:rsid w:val="00122EF7"/>
    <w:rsid w:val="00125A26"/>
    <w:rsid w:val="001472A8"/>
    <w:rsid w:val="0015376F"/>
    <w:rsid w:val="001614E0"/>
    <w:rsid w:val="00165DF9"/>
    <w:rsid w:val="00171BD8"/>
    <w:rsid w:val="00174B07"/>
    <w:rsid w:val="0017653E"/>
    <w:rsid w:val="00182B01"/>
    <w:rsid w:val="001840D2"/>
    <w:rsid w:val="00185ABC"/>
    <w:rsid w:val="001966D7"/>
    <w:rsid w:val="001C1F7D"/>
    <w:rsid w:val="001C4D2E"/>
    <w:rsid w:val="001C7E35"/>
    <w:rsid w:val="001D58F0"/>
    <w:rsid w:val="001E3C06"/>
    <w:rsid w:val="001E6C12"/>
    <w:rsid w:val="001F0037"/>
    <w:rsid w:val="001F0072"/>
    <w:rsid w:val="001F0BE9"/>
    <w:rsid w:val="00201183"/>
    <w:rsid w:val="00202D79"/>
    <w:rsid w:val="00205D2F"/>
    <w:rsid w:val="00215E8F"/>
    <w:rsid w:val="00221A93"/>
    <w:rsid w:val="002322BB"/>
    <w:rsid w:val="00234A5B"/>
    <w:rsid w:val="00251254"/>
    <w:rsid w:val="002548D1"/>
    <w:rsid w:val="0027283B"/>
    <w:rsid w:val="00273E68"/>
    <w:rsid w:val="0028019B"/>
    <w:rsid w:val="00282E73"/>
    <w:rsid w:val="00283CAB"/>
    <w:rsid w:val="0028525A"/>
    <w:rsid w:val="002A3FEF"/>
    <w:rsid w:val="002B54A6"/>
    <w:rsid w:val="002C5A5F"/>
    <w:rsid w:val="002F3EE9"/>
    <w:rsid w:val="00307B54"/>
    <w:rsid w:val="00307F76"/>
    <w:rsid w:val="00321FBB"/>
    <w:rsid w:val="003237A2"/>
    <w:rsid w:val="003313EA"/>
    <w:rsid w:val="003333AD"/>
    <w:rsid w:val="00333FAA"/>
    <w:rsid w:val="003355D7"/>
    <w:rsid w:val="003562F5"/>
    <w:rsid w:val="00356C57"/>
    <w:rsid w:val="0036201C"/>
    <w:rsid w:val="00376768"/>
    <w:rsid w:val="003A355A"/>
    <w:rsid w:val="003B5893"/>
    <w:rsid w:val="003C289E"/>
    <w:rsid w:val="003D496D"/>
    <w:rsid w:val="003E64D6"/>
    <w:rsid w:val="003F3AFD"/>
    <w:rsid w:val="003F60B5"/>
    <w:rsid w:val="00403BC1"/>
    <w:rsid w:val="004076C8"/>
    <w:rsid w:val="004100EB"/>
    <w:rsid w:val="004207E3"/>
    <w:rsid w:val="00421A4C"/>
    <w:rsid w:val="00422B62"/>
    <w:rsid w:val="004238C2"/>
    <w:rsid w:val="004277AA"/>
    <w:rsid w:val="00435B5D"/>
    <w:rsid w:val="004363F7"/>
    <w:rsid w:val="0044525C"/>
    <w:rsid w:val="004553F1"/>
    <w:rsid w:val="004632C3"/>
    <w:rsid w:val="00471C1F"/>
    <w:rsid w:val="00475734"/>
    <w:rsid w:val="00476C71"/>
    <w:rsid w:val="004809FA"/>
    <w:rsid w:val="004C4A75"/>
    <w:rsid w:val="004D2DA0"/>
    <w:rsid w:val="004E14A4"/>
    <w:rsid w:val="004F54BD"/>
    <w:rsid w:val="004F56C5"/>
    <w:rsid w:val="00523C4B"/>
    <w:rsid w:val="005354D0"/>
    <w:rsid w:val="005369DC"/>
    <w:rsid w:val="0054172C"/>
    <w:rsid w:val="0054590F"/>
    <w:rsid w:val="005459EC"/>
    <w:rsid w:val="005718B5"/>
    <w:rsid w:val="005808FB"/>
    <w:rsid w:val="005811F8"/>
    <w:rsid w:val="00582605"/>
    <w:rsid w:val="00591016"/>
    <w:rsid w:val="005B3F67"/>
    <w:rsid w:val="005B7300"/>
    <w:rsid w:val="005D3471"/>
    <w:rsid w:val="005D548F"/>
    <w:rsid w:val="005D6EF5"/>
    <w:rsid w:val="005E3A10"/>
    <w:rsid w:val="005E7509"/>
    <w:rsid w:val="005F08D6"/>
    <w:rsid w:val="006052D9"/>
    <w:rsid w:val="00605A4C"/>
    <w:rsid w:val="00617FE2"/>
    <w:rsid w:val="00620F87"/>
    <w:rsid w:val="00645B8B"/>
    <w:rsid w:val="00655044"/>
    <w:rsid w:val="00666922"/>
    <w:rsid w:val="00670F17"/>
    <w:rsid w:val="006710C7"/>
    <w:rsid w:val="00696A83"/>
    <w:rsid w:val="006B7277"/>
    <w:rsid w:val="006C580A"/>
    <w:rsid w:val="006D1E69"/>
    <w:rsid w:val="006D52E3"/>
    <w:rsid w:val="006F057C"/>
    <w:rsid w:val="006F22DA"/>
    <w:rsid w:val="006F2EB3"/>
    <w:rsid w:val="00707CB3"/>
    <w:rsid w:val="007104B6"/>
    <w:rsid w:val="007116B1"/>
    <w:rsid w:val="00714BEE"/>
    <w:rsid w:val="00721215"/>
    <w:rsid w:val="00724C57"/>
    <w:rsid w:val="00736A03"/>
    <w:rsid w:val="007400CF"/>
    <w:rsid w:val="00751FEE"/>
    <w:rsid w:val="00792009"/>
    <w:rsid w:val="007B0A38"/>
    <w:rsid w:val="007B1C34"/>
    <w:rsid w:val="007B23FC"/>
    <w:rsid w:val="007C1987"/>
    <w:rsid w:val="007C1E88"/>
    <w:rsid w:val="007D0C1D"/>
    <w:rsid w:val="007D1AB5"/>
    <w:rsid w:val="007D2000"/>
    <w:rsid w:val="007D4DBF"/>
    <w:rsid w:val="007D6CEC"/>
    <w:rsid w:val="007E4732"/>
    <w:rsid w:val="007E4BA4"/>
    <w:rsid w:val="007F004E"/>
    <w:rsid w:val="007F335A"/>
    <w:rsid w:val="00803069"/>
    <w:rsid w:val="00803104"/>
    <w:rsid w:val="00812901"/>
    <w:rsid w:val="00812C1E"/>
    <w:rsid w:val="0082176F"/>
    <w:rsid w:val="00826B9A"/>
    <w:rsid w:val="0082776C"/>
    <w:rsid w:val="00831706"/>
    <w:rsid w:val="00842757"/>
    <w:rsid w:val="00843CC2"/>
    <w:rsid w:val="0085266D"/>
    <w:rsid w:val="0085322C"/>
    <w:rsid w:val="008A5AA0"/>
    <w:rsid w:val="008B776E"/>
    <w:rsid w:val="008E224D"/>
    <w:rsid w:val="00911B4D"/>
    <w:rsid w:val="0092530B"/>
    <w:rsid w:val="009341A6"/>
    <w:rsid w:val="0094208C"/>
    <w:rsid w:val="00942F17"/>
    <w:rsid w:val="00943236"/>
    <w:rsid w:val="00947961"/>
    <w:rsid w:val="00952CEF"/>
    <w:rsid w:val="00955421"/>
    <w:rsid w:val="00976B17"/>
    <w:rsid w:val="00977457"/>
    <w:rsid w:val="00990E9C"/>
    <w:rsid w:val="00994542"/>
    <w:rsid w:val="00994908"/>
    <w:rsid w:val="009B160B"/>
    <w:rsid w:val="009C237B"/>
    <w:rsid w:val="009C7BBF"/>
    <w:rsid w:val="009D06F0"/>
    <w:rsid w:val="009E0EF8"/>
    <w:rsid w:val="009E5A93"/>
    <w:rsid w:val="009F3154"/>
    <w:rsid w:val="009F53FE"/>
    <w:rsid w:val="00A1211C"/>
    <w:rsid w:val="00A20113"/>
    <w:rsid w:val="00A20D78"/>
    <w:rsid w:val="00A2215F"/>
    <w:rsid w:val="00A22839"/>
    <w:rsid w:val="00A23E19"/>
    <w:rsid w:val="00A33185"/>
    <w:rsid w:val="00A53B04"/>
    <w:rsid w:val="00A661F4"/>
    <w:rsid w:val="00A66326"/>
    <w:rsid w:val="00A7271A"/>
    <w:rsid w:val="00A81E19"/>
    <w:rsid w:val="00A865DD"/>
    <w:rsid w:val="00AA0CB9"/>
    <w:rsid w:val="00AB795F"/>
    <w:rsid w:val="00AC266C"/>
    <w:rsid w:val="00AC6312"/>
    <w:rsid w:val="00AD1E77"/>
    <w:rsid w:val="00AD6D80"/>
    <w:rsid w:val="00AE1FD2"/>
    <w:rsid w:val="00AE2C1B"/>
    <w:rsid w:val="00AF7113"/>
    <w:rsid w:val="00B0729B"/>
    <w:rsid w:val="00B1160D"/>
    <w:rsid w:val="00B20D8D"/>
    <w:rsid w:val="00B20F71"/>
    <w:rsid w:val="00B24FB0"/>
    <w:rsid w:val="00B307B7"/>
    <w:rsid w:val="00B40C06"/>
    <w:rsid w:val="00B444E6"/>
    <w:rsid w:val="00B52011"/>
    <w:rsid w:val="00B53EFF"/>
    <w:rsid w:val="00B54AFA"/>
    <w:rsid w:val="00B664C3"/>
    <w:rsid w:val="00B671A4"/>
    <w:rsid w:val="00B804E8"/>
    <w:rsid w:val="00B91897"/>
    <w:rsid w:val="00BC206C"/>
    <w:rsid w:val="00BC2114"/>
    <w:rsid w:val="00BC431A"/>
    <w:rsid w:val="00BF5AAA"/>
    <w:rsid w:val="00C010AA"/>
    <w:rsid w:val="00C01A35"/>
    <w:rsid w:val="00C03772"/>
    <w:rsid w:val="00C04EDA"/>
    <w:rsid w:val="00C119A2"/>
    <w:rsid w:val="00C15624"/>
    <w:rsid w:val="00C17B6B"/>
    <w:rsid w:val="00C57267"/>
    <w:rsid w:val="00C62B63"/>
    <w:rsid w:val="00C72B5B"/>
    <w:rsid w:val="00C869F3"/>
    <w:rsid w:val="00C9179F"/>
    <w:rsid w:val="00CA7853"/>
    <w:rsid w:val="00CB5D65"/>
    <w:rsid w:val="00CC0CFA"/>
    <w:rsid w:val="00CC18AC"/>
    <w:rsid w:val="00CC780F"/>
    <w:rsid w:val="00CD7D5D"/>
    <w:rsid w:val="00CE53AF"/>
    <w:rsid w:val="00CF0FC4"/>
    <w:rsid w:val="00CF6932"/>
    <w:rsid w:val="00D01FE3"/>
    <w:rsid w:val="00D0381E"/>
    <w:rsid w:val="00D0460C"/>
    <w:rsid w:val="00D06CA3"/>
    <w:rsid w:val="00D07F46"/>
    <w:rsid w:val="00D170E5"/>
    <w:rsid w:val="00D225BA"/>
    <w:rsid w:val="00D37F2F"/>
    <w:rsid w:val="00D415B9"/>
    <w:rsid w:val="00D528E8"/>
    <w:rsid w:val="00D70E31"/>
    <w:rsid w:val="00D771D0"/>
    <w:rsid w:val="00D835CF"/>
    <w:rsid w:val="00D94092"/>
    <w:rsid w:val="00DA26FB"/>
    <w:rsid w:val="00DA36BE"/>
    <w:rsid w:val="00DB6C3D"/>
    <w:rsid w:val="00DB6E5F"/>
    <w:rsid w:val="00DC5ACF"/>
    <w:rsid w:val="00DD3573"/>
    <w:rsid w:val="00DD45D1"/>
    <w:rsid w:val="00DD7468"/>
    <w:rsid w:val="00DE25E9"/>
    <w:rsid w:val="00DE71D3"/>
    <w:rsid w:val="00DE72CF"/>
    <w:rsid w:val="00DF08A0"/>
    <w:rsid w:val="00E13BEF"/>
    <w:rsid w:val="00E40257"/>
    <w:rsid w:val="00E423A3"/>
    <w:rsid w:val="00E47EAD"/>
    <w:rsid w:val="00E70760"/>
    <w:rsid w:val="00E719C2"/>
    <w:rsid w:val="00E84B6B"/>
    <w:rsid w:val="00E9253C"/>
    <w:rsid w:val="00EB2B97"/>
    <w:rsid w:val="00EB3CF0"/>
    <w:rsid w:val="00EB45B5"/>
    <w:rsid w:val="00EB5E57"/>
    <w:rsid w:val="00EB61DB"/>
    <w:rsid w:val="00ED4AFD"/>
    <w:rsid w:val="00ED6776"/>
    <w:rsid w:val="00EE4FBE"/>
    <w:rsid w:val="00F038A1"/>
    <w:rsid w:val="00F06E4E"/>
    <w:rsid w:val="00F14948"/>
    <w:rsid w:val="00F1576D"/>
    <w:rsid w:val="00F51E01"/>
    <w:rsid w:val="00F5649A"/>
    <w:rsid w:val="00F67DC5"/>
    <w:rsid w:val="00F766BE"/>
    <w:rsid w:val="00F82342"/>
    <w:rsid w:val="00F877DB"/>
    <w:rsid w:val="00F91AE4"/>
    <w:rsid w:val="00F93C8B"/>
    <w:rsid w:val="00F959DD"/>
    <w:rsid w:val="00F960D5"/>
    <w:rsid w:val="00FB1231"/>
    <w:rsid w:val="00FC1C5C"/>
    <w:rsid w:val="00FE17E2"/>
    <w:rsid w:val="00FE2802"/>
    <w:rsid w:val="00FE41C9"/>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C86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customStyle="1" w:styleId="Default">
    <w:name w:val="Default"/>
    <w:rsid w:val="003A355A"/>
    <w:pPr>
      <w:autoSpaceDE w:val="0"/>
      <w:autoSpaceDN w:val="0"/>
      <w:adjustRightInd w:val="0"/>
    </w:pPr>
    <w:rPr>
      <w:rFonts w:ascii="Arial MT Std Light" w:eastAsia="Calibri" w:hAnsi="Arial MT Std Light" w:cs="Arial MT Std Light"/>
      <w:color w:val="000000"/>
      <w:sz w:val="24"/>
      <w:szCs w:val="24"/>
    </w:rPr>
  </w:style>
  <w:style w:type="character" w:customStyle="1" w:styleId="A7">
    <w:name w:val="A7"/>
    <w:uiPriority w:val="99"/>
    <w:rsid w:val="003A355A"/>
    <w:rPr>
      <w:rFonts w:cs="Arial MT Std Light"/>
      <w:color w:val="000000"/>
      <w:sz w:val="22"/>
      <w:szCs w:val="22"/>
    </w:rPr>
  </w:style>
  <w:style w:type="character" w:styleId="CommentReference">
    <w:name w:val="annotation reference"/>
    <w:basedOn w:val="DefaultParagraphFont"/>
    <w:semiHidden/>
    <w:unhideWhenUsed/>
    <w:rsid w:val="003C289E"/>
    <w:rPr>
      <w:sz w:val="16"/>
      <w:szCs w:val="16"/>
    </w:rPr>
  </w:style>
  <w:style w:type="paragraph" w:styleId="CommentText">
    <w:name w:val="annotation text"/>
    <w:basedOn w:val="Normal"/>
    <w:link w:val="CommentTextChar"/>
    <w:semiHidden/>
    <w:unhideWhenUsed/>
    <w:rsid w:val="003C289E"/>
    <w:rPr>
      <w:sz w:val="20"/>
    </w:rPr>
  </w:style>
  <w:style w:type="character" w:customStyle="1" w:styleId="CommentTextChar">
    <w:name w:val="Comment Text Char"/>
    <w:basedOn w:val="DefaultParagraphFont"/>
    <w:link w:val="CommentText"/>
    <w:semiHidden/>
    <w:rsid w:val="003C289E"/>
    <w:rPr>
      <w:rFonts w:ascii="Arial" w:hAnsi="Arial"/>
      <w:lang w:eastAsia="en-US"/>
    </w:rPr>
  </w:style>
  <w:style w:type="paragraph" w:styleId="CommentSubject">
    <w:name w:val="annotation subject"/>
    <w:basedOn w:val="CommentText"/>
    <w:next w:val="CommentText"/>
    <w:link w:val="CommentSubjectChar"/>
    <w:semiHidden/>
    <w:unhideWhenUsed/>
    <w:rsid w:val="003C289E"/>
    <w:rPr>
      <w:b/>
      <w:bCs/>
    </w:rPr>
  </w:style>
  <w:style w:type="character" w:customStyle="1" w:styleId="CommentSubjectChar">
    <w:name w:val="Comment Subject Char"/>
    <w:basedOn w:val="CommentTextChar"/>
    <w:link w:val="CommentSubject"/>
    <w:semiHidden/>
    <w:rsid w:val="003C289E"/>
    <w:rPr>
      <w:rFonts w:ascii="Arial" w:hAnsi="Arial"/>
      <w:b/>
      <w:bCs/>
      <w:lang w:eastAsia="en-US"/>
    </w:rPr>
  </w:style>
  <w:style w:type="character" w:customStyle="1" w:styleId="UnresolvedMention">
    <w:name w:val="Unresolved Mention"/>
    <w:basedOn w:val="DefaultParagraphFont"/>
    <w:uiPriority w:val="99"/>
    <w:semiHidden/>
    <w:unhideWhenUsed/>
    <w:rsid w:val="00D70E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customStyle="1" w:styleId="Default">
    <w:name w:val="Default"/>
    <w:rsid w:val="003A355A"/>
    <w:pPr>
      <w:autoSpaceDE w:val="0"/>
      <w:autoSpaceDN w:val="0"/>
      <w:adjustRightInd w:val="0"/>
    </w:pPr>
    <w:rPr>
      <w:rFonts w:ascii="Arial MT Std Light" w:eastAsia="Calibri" w:hAnsi="Arial MT Std Light" w:cs="Arial MT Std Light"/>
      <w:color w:val="000000"/>
      <w:sz w:val="24"/>
      <w:szCs w:val="24"/>
    </w:rPr>
  </w:style>
  <w:style w:type="character" w:customStyle="1" w:styleId="A7">
    <w:name w:val="A7"/>
    <w:uiPriority w:val="99"/>
    <w:rsid w:val="003A355A"/>
    <w:rPr>
      <w:rFonts w:cs="Arial MT Std Light"/>
      <w:color w:val="000000"/>
      <w:sz w:val="22"/>
      <w:szCs w:val="22"/>
    </w:rPr>
  </w:style>
  <w:style w:type="character" w:styleId="CommentReference">
    <w:name w:val="annotation reference"/>
    <w:basedOn w:val="DefaultParagraphFont"/>
    <w:semiHidden/>
    <w:unhideWhenUsed/>
    <w:rsid w:val="003C289E"/>
    <w:rPr>
      <w:sz w:val="16"/>
      <w:szCs w:val="16"/>
    </w:rPr>
  </w:style>
  <w:style w:type="paragraph" w:styleId="CommentText">
    <w:name w:val="annotation text"/>
    <w:basedOn w:val="Normal"/>
    <w:link w:val="CommentTextChar"/>
    <w:semiHidden/>
    <w:unhideWhenUsed/>
    <w:rsid w:val="003C289E"/>
    <w:rPr>
      <w:sz w:val="20"/>
    </w:rPr>
  </w:style>
  <w:style w:type="character" w:customStyle="1" w:styleId="CommentTextChar">
    <w:name w:val="Comment Text Char"/>
    <w:basedOn w:val="DefaultParagraphFont"/>
    <w:link w:val="CommentText"/>
    <w:semiHidden/>
    <w:rsid w:val="003C289E"/>
    <w:rPr>
      <w:rFonts w:ascii="Arial" w:hAnsi="Arial"/>
      <w:lang w:eastAsia="en-US"/>
    </w:rPr>
  </w:style>
  <w:style w:type="paragraph" w:styleId="CommentSubject">
    <w:name w:val="annotation subject"/>
    <w:basedOn w:val="CommentText"/>
    <w:next w:val="CommentText"/>
    <w:link w:val="CommentSubjectChar"/>
    <w:semiHidden/>
    <w:unhideWhenUsed/>
    <w:rsid w:val="003C289E"/>
    <w:rPr>
      <w:b/>
      <w:bCs/>
    </w:rPr>
  </w:style>
  <w:style w:type="character" w:customStyle="1" w:styleId="CommentSubjectChar">
    <w:name w:val="Comment Subject Char"/>
    <w:basedOn w:val="CommentTextChar"/>
    <w:link w:val="CommentSubject"/>
    <w:semiHidden/>
    <w:rsid w:val="003C289E"/>
    <w:rPr>
      <w:rFonts w:ascii="Arial" w:hAnsi="Arial"/>
      <w:b/>
      <w:bCs/>
      <w:lang w:eastAsia="en-US"/>
    </w:rPr>
  </w:style>
  <w:style w:type="character" w:customStyle="1" w:styleId="UnresolvedMention">
    <w:name w:val="Unresolved Mention"/>
    <w:basedOn w:val="DefaultParagraphFont"/>
    <w:uiPriority w:val="99"/>
    <w:semiHidden/>
    <w:unhideWhenUsed/>
    <w:rsid w:val="00D70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31538932">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7461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harrow.gov.uk/documents/s153087/Extra%20Care%20Housing.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2.harrow.gov.uk/documents/s153088/Annexe%20A%20-%20Extra%20Care%20Housing.pdf"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TaxKeywordTaxHTField xmlns="e48e9339-ef40-4192-ab59-a15ba5582753">
      <Terms xmlns="http://schemas.microsoft.com/office/infopath/2007/PartnerControls"/>
    </TaxKeywordTaxHTField>
    <HarrowProtectiveMarking xmlns="e48e9339-ef40-4192-ab59-a15ba5582753">OFFICIAL</HarrowProtectiveMarking>
    <HarrowDescription xmlns="e48e9339-ef40-4192-ab59-a15ba5582753" xsi:nil="true"/>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b11bda97-64e7-4000-91fd-dcaad77bf85d" ContentTypeId="0x0101000226E4B75CFA47B488D2CEFE4DCFDD6410" PreviousValue="true"/>
</file>

<file path=customXml/item5.xml><?xml version="1.0" encoding="utf-8"?>
<ct:contentTypeSchema xmlns:ct="http://schemas.microsoft.com/office/2006/metadata/contentType" xmlns:ma="http://schemas.microsoft.com/office/2006/metadata/properties/metaAttributes" ct:_="" ma:_="" ma:contentTypeName="Project Document" ma:contentTypeID="0x0101000226E4B75CFA47B488D2CEFE4DCFDD6410009DF60A6B12DEF94FAF29F27098CBA936" ma:contentTypeVersion="7" ma:contentTypeDescription="" ma:contentTypeScope="" ma:versionID="07a8ddd7c06873b9fa24a904b0481d37">
  <xsd:schema xmlns:xsd="http://www.w3.org/2001/XMLSchema" xmlns:xs="http://www.w3.org/2001/XMLSchema" xmlns:p="http://schemas.microsoft.com/office/2006/metadata/properties" xmlns:ns2="e48e9339-ef40-4192-ab59-a15ba5582753" targetNamespace="http://schemas.microsoft.com/office/2006/metadata/properties" ma:root="true" ma:fieldsID="c653bfcc11d3f7e703fbc8a5baa50746" ns2:_="">
    <xsd:import namespace="e48e9339-ef40-4192-ab59-a15ba5582753"/>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289a1f01-3901-4ed1-b5c3-6c4d4efa8e12}" ma:internalName="TaxCatchAll" ma:showField="CatchAllData" ma:web="9ee8c313-ccba-4d0b-9968-2ac2559014a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89a1f01-3901-4ed1-b5c3-6c4d4efa8e12}" ma:internalName="TaxCatchAllLabel" ma:readOnly="true" ma:showField="CatchAllDataLabel" ma:web="9ee8c313-ccba-4d0b-9968-2ac2559014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05B1B39E-4BD6-4D34-B83E-79D5CD4DA147}">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e48e9339-ef40-4192-ab59-a15ba558275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22ABFEA5-7393-46E8-912F-DBC7BF71BDB0}">
  <ds:schemaRefs>
    <ds:schemaRef ds:uri="Microsoft.SharePoint.Taxonomy.ContentTypeSync"/>
  </ds:schemaRefs>
</ds:datastoreItem>
</file>

<file path=customXml/itemProps5.xml><?xml version="1.0" encoding="utf-8"?>
<ds:datastoreItem xmlns:ds="http://schemas.openxmlformats.org/officeDocument/2006/customXml" ds:itemID="{2FE844A3-FC65-4C82-AEAA-EC98E82EF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ED4658-D9F3-4AD4-A3A8-E45C1B74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3559</Words>
  <Characters>19478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22992</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DGhelani</dc:creator>
  <cp:keywords/>
  <cp:lastModifiedBy>NNikolov</cp:lastModifiedBy>
  <cp:revision>3</cp:revision>
  <cp:lastPrinted>2014-10-31T16:34:00Z</cp:lastPrinted>
  <dcterms:created xsi:type="dcterms:W3CDTF">2020-11-02T08:32:00Z</dcterms:created>
  <dcterms:modified xsi:type="dcterms:W3CDTF">2020-11-03T16:29:00Z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0x0101000226E4B75CFA47B488D2CEFE4DCFDD6410009DF60A6B12DEF94FAF29F27098CBA936</vt:lpwstr>
  </property>
  <property fmtid="{D5CDD505-2E9C-101B-9397-08002B2CF9AE}" pid="3" name="TaxKeyword">
    <vt:lpwstr/>
  </property>
</Properties>
</file>